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A2A" w:rsidRPr="005E5A2A" w:rsidRDefault="005E5A2A" w:rsidP="005E5A2A">
      <w:pPr>
        <w:spacing w:line="240" w:lineRule="auto"/>
        <w:outlineLvl w:val="2"/>
        <w:rPr>
          <w:rFonts w:ascii="Times New Roman" w:eastAsia="Times New Roman" w:hAnsi="Times New Roman" w:cs="Times New Roman"/>
          <w:b/>
          <w:bCs/>
          <w:caps/>
          <w:sz w:val="27"/>
          <w:szCs w:val="27"/>
        </w:rPr>
      </w:pPr>
      <w:r w:rsidRPr="005E5A2A">
        <w:rPr>
          <w:rFonts w:ascii="Times New Roman" w:eastAsia="Times New Roman" w:hAnsi="Times New Roman" w:cs="Times New Roman"/>
          <w:b/>
          <w:bCs/>
          <w:caps/>
          <w:sz w:val="27"/>
          <w:szCs w:val="27"/>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424"/>
      </w:tblGrid>
      <w:tr w:rsidR="005E5A2A" w:rsidRPr="005E5A2A" w:rsidTr="005E5A2A">
        <w:trPr>
          <w:tblCellSpacing w:w="15" w:type="dxa"/>
          <w:jc w:val="center"/>
        </w:trPr>
        <w:tc>
          <w:tcPr>
            <w:tcW w:w="0" w:type="auto"/>
            <w:hideMark/>
          </w:tcPr>
          <w:p w:rsidR="005E5A2A" w:rsidRPr="005E5A2A" w:rsidRDefault="005E5A2A" w:rsidP="005E5A2A">
            <w:pPr>
              <w:spacing w:before="100" w:beforeAutospacing="1" w:after="100" w:afterAutospacing="1" w:line="240" w:lineRule="auto"/>
              <w:rPr>
                <w:rFonts w:ascii="Arial" w:eastAsia="Times New Roman" w:hAnsi="Arial" w:cs="Arial"/>
                <w:b/>
                <w:bCs/>
                <w:color w:val="FF0000"/>
                <w:sz w:val="27"/>
                <w:szCs w:val="27"/>
              </w:rPr>
            </w:pPr>
            <w:r w:rsidRPr="005E5A2A">
              <w:rPr>
                <w:rFonts w:ascii="Arial" w:eastAsia="Times New Roman" w:hAnsi="Arial" w:cs="Arial"/>
                <w:b/>
                <w:bCs/>
                <w:color w:val="FF0000"/>
                <w:sz w:val="27"/>
                <w:szCs w:val="27"/>
              </w:rPr>
              <w:t>e-CFR Data is current as of June 11, 2014</w:t>
            </w:r>
          </w:p>
        </w:tc>
      </w:tr>
    </w:tbl>
    <w:p w:rsidR="005E5A2A" w:rsidRPr="005E5A2A" w:rsidRDefault="005E5A2A" w:rsidP="005E5A2A">
      <w:pPr>
        <w:spacing w:before="200" w:after="100" w:afterAutospacing="1" w:line="240" w:lineRule="auto"/>
        <w:rPr>
          <w:rFonts w:ascii="Arial" w:eastAsia="Times New Roman" w:hAnsi="Arial" w:cs="Arial"/>
          <w:sz w:val="20"/>
          <w:szCs w:val="20"/>
        </w:rPr>
      </w:pPr>
      <w:hyperlink r:id="rId6" w:history="1">
        <w:r w:rsidRPr="005E5A2A">
          <w:rPr>
            <w:rFonts w:ascii="Arial" w:eastAsia="Times New Roman" w:hAnsi="Arial" w:cs="Arial"/>
            <w:color w:val="0000FF"/>
            <w:sz w:val="17"/>
            <w:szCs w:val="17"/>
          </w:rPr>
          <w:t>Browse Next</w:t>
        </w:r>
      </w:hyperlink>
    </w:p>
    <w:p w:rsidR="005E5A2A" w:rsidRPr="005E5A2A" w:rsidRDefault="005E5A2A" w:rsidP="005E5A2A">
      <w:pPr>
        <w:spacing w:before="200" w:after="100" w:afterAutospacing="1" w:line="240" w:lineRule="auto"/>
        <w:rPr>
          <w:rFonts w:ascii="Arial" w:eastAsia="Times New Roman" w:hAnsi="Arial" w:cs="Arial"/>
          <w:sz w:val="20"/>
          <w:szCs w:val="20"/>
        </w:rPr>
      </w:pPr>
      <w:r w:rsidRPr="005E5A2A">
        <w:rPr>
          <w:rFonts w:ascii="Arial" w:eastAsia="Times New Roman" w:hAnsi="Arial" w:cs="Arial"/>
          <w:sz w:val="20"/>
          <w:szCs w:val="20"/>
        </w:rPr>
        <w:t xml:space="preserve">Title 40: Protection of Environment </w:t>
      </w:r>
      <w:r w:rsidRPr="005E5A2A">
        <w:rPr>
          <w:rFonts w:ascii="Arial" w:eastAsia="Times New Roman" w:hAnsi="Arial" w:cs="Arial"/>
          <w:sz w:val="20"/>
          <w:szCs w:val="20"/>
        </w:rPr>
        <w:br/>
      </w:r>
      <w:hyperlink r:id="rId7" w:history="1">
        <w:r w:rsidRPr="005E5A2A">
          <w:rPr>
            <w:rFonts w:ascii="Arial" w:eastAsia="Times New Roman" w:hAnsi="Arial" w:cs="Arial"/>
            <w:color w:val="0000FF"/>
            <w:sz w:val="17"/>
            <w:szCs w:val="17"/>
          </w:rPr>
          <w:t>PART 60—STANDARDS OF PERFORMANCE FOR NEW STATIONARY SOURCES</w:t>
        </w:r>
      </w:hyperlink>
      <w:r w:rsidRPr="005E5A2A">
        <w:rPr>
          <w:rFonts w:ascii="Arial" w:eastAsia="Times New Roman" w:hAnsi="Arial" w:cs="Arial"/>
          <w:sz w:val="20"/>
          <w:szCs w:val="20"/>
        </w:rPr>
        <w:t xml:space="preserve"> </w:t>
      </w:r>
    </w:p>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pict>
          <v:rect id="_x0000_i1025" style="width:0;height:1.5pt" o:hrstd="t" o:hr="t" fillcolor="#a0a0a0" stroked="f"/>
        </w:pict>
      </w:r>
    </w:p>
    <w:p w:rsidR="005E5A2A" w:rsidRPr="005E5A2A" w:rsidRDefault="005E5A2A" w:rsidP="005E5A2A">
      <w:pPr>
        <w:spacing w:before="200" w:after="100" w:line="240" w:lineRule="auto"/>
        <w:outlineLvl w:val="1"/>
        <w:rPr>
          <w:rFonts w:ascii="Arial" w:eastAsia="Times New Roman" w:hAnsi="Arial" w:cs="Arial"/>
          <w:b/>
          <w:bCs/>
          <w:sz w:val="27"/>
          <w:szCs w:val="27"/>
        </w:rPr>
      </w:pPr>
      <w:bookmarkStart w:id="0" w:name="_top"/>
      <w:bookmarkEnd w:id="0"/>
      <w:r w:rsidRPr="005E5A2A">
        <w:rPr>
          <w:rFonts w:ascii="Arial" w:eastAsia="Times New Roman" w:hAnsi="Arial" w:cs="Arial"/>
          <w:b/>
          <w:bCs/>
          <w:sz w:val="27"/>
          <w:szCs w:val="27"/>
        </w:rPr>
        <w:t>Subpart A—General Provisions</w:t>
      </w:r>
    </w:p>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pict>
          <v:rect id="_x0000_i1026" style="width:0;height:1.5pt" o:hrstd="t" o:hr="t" fillcolor="#a0a0a0" stroked="f"/>
        </w:pict>
      </w:r>
    </w:p>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b/>
          <w:bCs/>
          <w:sz w:val="20"/>
          <w:szCs w:val="20"/>
        </w:rPr>
        <w:t>Contents</w:t>
      </w:r>
      <w:r w:rsidRPr="005E5A2A">
        <w:rPr>
          <w:rFonts w:ascii="Arial" w:eastAsia="Times New Roman" w:hAnsi="Arial" w:cs="Arial"/>
          <w:sz w:val="20"/>
          <w:szCs w:val="20"/>
        </w:rPr>
        <w:br/>
      </w:r>
      <w:hyperlink r:id="rId8" w:anchor="40:7.0.1.1.1.1.151.1" w:history="1">
        <w:r w:rsidRPr="005E5A2A">
          <w:rPr>
            <w:rFonts w:ascii="Arial" w:eastAsia="Times New Roman" w:hAnsi="Arial" w:cs="Arial"/>
            <w:color w:val="0000FF"/>
            <w:sz w:val="17"/>
            <w:szCs w:val="17"/>
          </w:rPr>
          <w:t>§60.1   Applicability.</w:t>
        </w:r>
      </w:hyperlink>
      <w:r w:rsidRPr="005E5A2A">
        <w:rPr>
          <w:rFonts w:ascii="Arial" w:eastAsia="Times New Roman" w:hAnsi="Arial" w:cs="Arial"/>
          <w:sz w:val="20"/>
          <w:szCs w:val="20"/>
        </w:rPr>
        <w:br/>
      </w:r>
      <w:hyperlink r:id="rId9" w:anchor="40:7.0.1.1.1.1.151.2" w:history="1">
        <w:r w:rsidRPr="005E5A2A">
          <w:rPr>
            <w:rFonts w:ascii="Arial" w:eastAsia="Times New Roman" w:hAnsi="Arial" w:cs="Arial"/>
            <w:color w:val="0000FF"/>
            <w:sz w:val="17"/>
            <w:szCs w:val="17"/>
          </w:rPr>
          <w:t>§60.2   Definitions.</w:t>
        </w:r>
      </w:hyperlink>
      <w:r w:rsidRPr="005E5A2A">
        <w:rPr>
          <w:rFonts w:ascii="Arial" w:eastAsia="Times New Roman" w:hAnsi="Arial" w:cs="Arial"/>
          <w:sz w:val="20"/>
          <w:szCs w:val="20"/>
        </w:rPr>
        <w:br/>
      </w:r>
      <w:hyperlink r:id="rId10" w:anchor="40:7.0.1.1.1.1.151.3" w:history="1">
        <w:r w:rsidRPr="005E5A2A">
          <w:rPr>
            <w:rFonts w:ascii="Arial" w:eastAsia="Times New Roman" w:hAnsi="Arial" w:cs="Arial"/>
            <w:color w:val="0000FF"/>
            <w:sz w:val="17"/>
            <w:szCs w:val="17"/>
          </w:rPr>
          <w:t>§60.3   Units and abbreviations.</w:t>
        </w:r>
      </w:hyperlink>
      <w:r w:rsidRPr="005E5A2A">
        <w:rPr>
          <w:rFonts w:ascii="Arial" w:eastAsia="Times New Roman" w:hAnsi="Arial" w:cs="Arial"/>
          <w:sz w:val="20"/>
          <w:szCs w:val="20"/>
        </w:rPr>
        <w:br/>
      </w:r>
      <w:hyperlink r:id="rId11" w:anchor="40:7.0.1.1.1.1.151.4" w:history="1">
        <w:r w:rsidRPr="005E5A2A">
          <w:rPr>
            <w:rFonts w:ascii="Arial" w:eastAsia="Times New Roman" w:hAnsi="Arial" w:cs="Arial"/>
            <w:color w:val="0000FF"/>
            <w:sz w:val="17"/>
            <w:szCs w:val="17"/>
          </w:rPr>
          <w:t>§60.4   Address.</w:t>
        </w:r>
      </w:hyperlink>
      <w:r w:rsidRPr="005E5A2A">
        <w:rPr>
          <w:rFonts w:ascii="Arial" w:eastAsia="Times New Roman" w:hAnsi="Arial" w:cs="Arial"/>
          <w:sz w:val="20"/>
          <w:szCs w:val="20"/>
        </w:rPr>
        <w:br/>
      </w:r>
      <w:hyperlink r:id="rId12" w:anchor="40:7.0.1.1.1.1.151.5" w:history="1">
        <w:r w:rsidRPr="005E5A2A">
          <w:rPr>
            <w:rFonts w:ascii="Arial" w:eastAsia="Times New Roman" w:hAnsi="Arial" w:cs="Arial"/>
            <w:color w:val="0000FF"/>
            <w:sz w:val="17"/>
            <w:szCs w:val="17"/>
          </w:rPr>
          <w:t>§60.5   Determination of construction or modification.</w:t>
        </w:r>
      </w:hyperlink>
      <w:r w:rsidRPr="005E5A2A">
        <w:rPr>
          <w:rFonts w:ascii="Arial" w:eastAsia="Times New Roman" w:hAnsi="Arial" w:cs="Arial"/>
          <w:sz w:val="20"/>
          <w:szCs w:val="20"/>
        </w:rPr>
        <w:br/>
      </w:r>
      <w:hyperlink r:id="rId13" w:anchor="40:7.0.1.1.1.1.151.6" w:history="1">
        <w:r w:rsidRPr="005E5A2A">
          <w:rPr>
            <w:rFonts w:ascii="Arial" w:eastAsia="Times New Roman" w:hAnsi="Arial" w:cs="Arial"/>
            <w:color w:val="0000FF"/>
            <w:sz w:val="17"/>
            <w:szCs w:val="17"/>
          </w:rPr>
          <w:t>§60.6   Review of plans.</w:t>
        </w:r>
      </w:hyperlink>
      <w:r w:rsidRPr="005E5A2A">
        <w:rPr>
          <w:rFonts w:ascii="Arial" w:eastAsia="Times New Roman" w:hAnsi="Arial" w:cs="Arial"/>
          <w:sz w:val="20"/>
          <w:szCs w:val="20"/>
        </w:rPr>
        <w:br/>
      </w:r>
      <w:hyperlink r:id="rId14" w:anchor="40:7.0.1.1.1.1.151.7" w:history="1">
        <w:r w:rsidRPr="005E5A2A">
          <w:rPr>
            <w:rFonts w:ascii="Arial" w:eastAsia="Times New Roman" w:hAnsi="Arial" w:cs="Arial"/>
            <w:color w:val="0000FF"/>
            <w:sz w:val="17"/>
            <w:szCs w:val="17"/>
          </w:rPr>
          <w:t>§60.7   Notification and record keeping.</w:t>
        </w:r>
      </w:hyperlink>
      <w:r w:rsidRPr="005E5A2A">
        <w:rPr>
          <w:rFonts w:ascii="Arial" w:eastAsia="Times New Roman" w:hAnsi="Arial" w:cs="Arial"/>
          <w:sz w:val="20"/>
          <w:szCs w:val="20"/>
        </w:rPr>
        <w:br/>
      </w:r>
      <w:hyperlink r:id="rId15" w:anchor="40:7.0.1.1.1.1.151.8" w:history="1">
        <w:r w:rsidRPr="005E5A2A">
          <w:rPr>
            <w:rFonts w:ascii="Arial" w:eastAsia="Times New Roman" w:hAnsi="Arial" w:cs="Arial"/>
            <w:color w:val="0000FF"/>
            <w:sz w:val="17"/>
            <w:szCs w:val="17"/>
          </w:rPr>
          <w:t>§60.8   Performance tests.</w:t>
        </w:r>
      </w:hyperlink>
      <w:r w:rsidRPr="005E5A2A">
        <w:rPr>
          <w:rFonts w:ascii="Arial" w:eastAsia="Times New Roman" w:hAnsi="Arial" w:cs="Arial"/>
          <w:sz w:val="20"/>
          <w:szCs w:val="20"/>
        </w:rPr>
        <w:br/>
      </w:r>
      <w:hyperlink r:id="rId16" w:anchor="40:7.0.1.1.1.1.151.9" w:history="1">
        <w:r w:rsidRPr="005E5A2A">
          <w:rPr>
            <w:rFonts w:ascii="Arial" w:eastAsia="Times New Roman" w:hAnsi="Arial" w:cs="Arial"/>
            <w:color w:val="0000FF"/>
            <w:sz w:val="17"/>
            <w:szCs w:val="17"/>
          </w:rPr>
          <w:t>§60.9   Availability of information.</w:t>
        </w:r>
      </w:hyperlink>
      <w:r w:rsidRPr="005E5A2A">
        <w:rPr>
          <w:rFonts w:ascii="Arial" w:eastAsia="Times New Roman" w:hAnsi="Arial" w:cs="Arial"/>
          <w:sz w:val="20"/>
          <w:szCs w:val="20"/>
        </w:rPr>
        <w:br/>
      </w:r>
      <w:hyperlink r:id="rId17" w:anchor="40:7.0.1.1.1.1.151.10" w:history="1">
        <w:r w:rsidRPr="005E5A2A">
          <w:rPr>
            <w:rFonts w:ascii="Arial" w:eastAsia="Times New Roman" w:hAnsi="Arial" w:cs="Arial"/>
            <w:color w:val="0000FF"/>
            <w:sz w:val="17"/>
            <w:szCs w:val="17"/>
          </w:rPr>
          <w:t>§60.10   State authority.</w:t>
        </w:r>
      </w:hyperlink>
      <w:r w:rsidRPr="005E5A2A">
        <w:rPr>
          <w:rFonts w:ascii="Arial" w:eastAsia="Times New Roman" w:hAnsi="Arial" w:cs="Arial"/>
          <w:sz w:val="20"/>
          <w:szCs w:val="20"/>
        </w:rPr>
        <w:br/>
      </w:r>
      <w:hyperlink r:id="rId18" w:anchor="40:7.0.1.1.1.1.151.11" w:history="1">
        <w:r w:rsidRPr="005E5A2A">
          <w:rPr>
            <w:rFonts w:ascii="Arial" w:eastAsia="Times New Roman" w:hAnsi="Arial" w:cs="Arial"/>
            <w:color w:val="0000FF"/>
            <w:sz w:val="17"/>
            <w:szCs w:val="17"/>
          </w:rPr>
          <w:t>§60.11   Compliance with standards and maintenance requirements.</w:t>
        </w:r>
      </w:hyperlink>
      <w:r w:rsidRPr="005E5A2A">
        <w:rPr>
          <w:rFonts w:ascii="Arial" w:eastAsia="Times New Roman" w:hAnsi="Arial" w:cs="Arial"/>
          <w:sz w:val="20"/>
          <w:szCs w:val="20"/>
        </w:rPr>
        <w:br/>
      </w:r>
      <w:hyperlink r:id="rId19" w:anchor="40:7.0.1.1.1.1.151.12" w:history="1">
        <w:r w:rsidRPr="005E5A2A">
          <w:rPr>
            <w:rFonts w:ascii="Arial" w:eastAsia="Times New Roman" w:hAnsi="Arial" w:cs="Arial"/>
            <w:color w:val="0000FF"/>
            <w:sz w:val="17"/>
            <w:szCs w:val="17"/>
          </w:rPr>
          <w:t>§60.12   Circumvention.</w:t>
        </w:r>
      </w:hyperlink>
      <w:r w:rsidRPr="005E5A2A">
        <w:rPr>
          <w:rFonts w:ascii="Arial" w:eastAsia="Times New Roman" w:hAnsi="Arial" w:cs="Arial"/>
          <w:sz w:val="20"/>
          <w:szCs w:val="20"/>
        </w:rPr>
        <w:br/>
      </w:r>
      <w:hyperlink r:id="rId20" w:anchor="40:7.0.1.1.1.1.151.13" w:history="1">
        <w:r w:rsidRPr="005E5A2A">
          <w:rPr>
            <w:rFonts w:ascii="Arial" w:eastAsia="Times New Roman" w:hAnsi="Arial" w:cs="Arial"/>
            <w:color w:val="0000FF"/>
            <w:sz w:val="17"/>
            <w:szCs w:val="17"/>
          </w:rPr>
          <w:t>§60.13   Monitoring requirements.</w:t>
        </w:r>
      </w:hyperlink>
      <w:r w:rsidRPr="005E5A2A">
        <w:rPr>
          <w:rFonts w:ascii="Arial" w:eastAsia="Times New Roman" w:hAnsi="Arial" w:cs="Arial"/>
          <w:sz w:val="20"/>
          <w:szCs w:val="20"/>
        </w:rPr>
        <w:br/>
      </w:r>
      <w:hyperlink r:id="rId21" w:anchor="40:7.0.1.1.1.1.151.14" w:history="1">
        <w:r w:rsidRPr="005E5A2A">
          <w:rPr>
            <w:rFonts w:ascii="Arial" w:eastAsia="Times New Roman" w:hAnsi="Arial" w:cs="Arial"/>
            <w:color w:val="0000FF"/>
            <w:sz w:val="17"/>
            <w:szCs w:val="17"/>
          </w:rPr>
          <w:t>§60.14   Modification.</w:t>
        </w:r>
      </w:hyperlink>
      <w:r w:rsidRPr="005E5A2A">
        <w:rPr>
          <w:rFonts w:ascii="Arial" w:eastAsia="Times New Roman" w:hAnsi="Arial" w:cs="Arial"/>
          <w:sz w:val="20"/>
          <w:szCs w:val="20"/>
        </w:rPr>
        <w:br/>
      </w:r>
      <w:hyperlink r:id="rId22" w:anchor="40:7.0.1.1.1.1.151.15" w:history="1">
        <w:r w:rsidRPr="005E5A2A">
          <w:rPr>
            <w:rFonts w:ascii="Arial" w:eastAsia="Times New Roman" w:hAnsi="Arial" w:cs="Arial"/>
            <w:color w:val="0000FF"/>
            <w:sz w:val="17"/>
            <w:szCs w:val="17"/>
          </w:rPr>
          <w:t>§60.15   Reconstruction.</w:t>
        </w:r>
      </w:hyperlink>
      <w:r w:rsidRPr="005E5A2A">
        <w:rPr>
          <w:rFonts w:ascii="Arial" w:eastAsia="Times New Roman" w:hAnsi="Arial" w:cs="Arial"/>
          <w:sz w:val="20"/>
          <w:szCs w:val="20"/>
        </w:rPr>
        <w:br/>
      </w:r>
      <w:hyperlink r:id="rId23" w:anchor="40:7.0.1.1.1.1.151.16" w:history="1">
        <w:r w:rsidRPr="005E5A2A">
          <w:rPr>
            <w:rFonts w:ascii="Arial" w:eastAsia="Times New Roman" w:hAnsi="Arial" w:cs="Arial"/>
            <w:color w:val="0000FF"/>
            <w:sz w:val="17"/>
            <w:szCs w:val="17"/>
          </w:rPr>
          <w:t>§60.16   Priority list.</w:t>
        </w:r>
      </w:hyperlink>
      <w:r w:rsidRPr="005E5A2A">
        <w:rPr>
          <w:rFonts w:ascii="Arial" w:eastAsia="Times New Roman" w:hAnsi="Arial" w:cs="Arial"/>
          <w:sz w:val="20"/>
          <w:szCs w:val="20"/>
        </w:rPr>
        <w:br/>
      </w:r>
      <w:hyperlink r:id="rId24" w:anchor="40:7.0.1.1.1.1.151.17" w:history="1">
        <w:r w:rsidRPr="005E5A2A">
          <w:rPr>
            <w:rFonts w:ascii="Arial" w:eastAsia="Times New Roman" w:hAnsi="Arial" w:cs="Arial"/>
            <w:color w:val="0000FF"/>
            <w:sz w:val="17"/>
            <w:szCs w:val="17"/>
          </w:rPr>
          <w:t>§60.17   Incorporations by reference.</w:t>
        </w:r>
      </w:hyperlink>
      <w:r w:rsidRPr="005E5A2A">
        <w:rPr>
          <w:rFonts w:ascii="Arial" w:eastAsia="Times New Roman" w:hAnsi="Arial" w:cs="Arial"/>
          <w:sz w:val="20"/>
          <w:szCs w:val="20"/>
        </w:rPr>
        <w:br/>
      </w:r>
      <w:hyperlink r:id="rId25" w:anchor="40:7.0.1.1.1.1.151.18" w:history="1">
        <w:r w:rsidRPr="005E5A2A">
          <w:rPr>
            <w:rFonts w:ascii="Arial" w:eastAsia="Times New Roman" w:hAnsi="Arial" w:cs="Arial"/>
            <w:color w:val="0000FF"/>
            <w:sz w:val="17"/>
            <w:szCs w:val="17"/>
          </w:rPr>
          <w:t>§60.18   General control device and work practice requirements.</w:t>
        </w:r>
      </w:hyperlink>
      <w:r w:rsidRPr="005E5A2A">
        <w:rPr>
          <w:rFonts w:ascii="Arial" w:eastAsia="Times New Roman" w:hAnsi="Arial" w:cs="Arial"/>
          <w:sz w:val="20"/>
          <w:szCs w:val="20"/>
        </w:rPr>
        <w:br/>
      </w:r>
      <w:hyperlink r:id="rId26" w:anchor="40:7.0.1.1.1.1.151.19" w:history="1">
        <w:r w:rsidRPr="005E5A2A">
          <w:rPr>
            <w:rFonts w:ascii="Arial" w:eastAsia="Times New Roman" w:hAnsi="Arial" w:cs="Arial"/>
            <w:color w:val="0000FF"/>
            <w:sz w:val="17"/>
            <w:szCs w:val="17"/>
          </w:rPr>
          <w:t>§60.19   General notification and reporting requirements.</w:t>
        </w:r>
      </w:hyperlink>
      <w:r w:rsidRPr="005E5A2A">
        <w:rPr>
          <w:rFonts w:ascii="Arial" w:eastAsia="Times New Roman" w:hAnsi="Arial" w:cs="Arial"/>
          <w:sz w:val="20"/>
          <w:szCs w:val="20"/>
        </w:rPr>
        <w:br/>
      </w:r>
      <w:hyperlink r:id="rId27" w:anchor="40:7.0.1.1.1.1.151.20.1" w:history="1">
        <w:r w:rsidRPr="005E5A2A">
          <w:rPr>
            <w:rFonts w:ascii="Arial" w:eastAsia="Times New Roman" w:hAnsi="Arial" w:cs="Arial"/>
            <w:color w:val="0000FF"/>
            <w:sz w:val="17"/>
            <w:szCs w:val="17"/>
          </w:rPr>
          <w:t xml:space="preserve">Table 1 to Subpart A of Part 60—Detection Sensitivity Levels (grams per hour) </w:t>
        </w:r>
      </w:hyperlink>
    </w:p>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pict>
          <v:rect id="_x0000_i1027" style="width:0;height:1.5pt" o:hrstd="t" o:hr="t" fillcolor="#a0a0a0" stroked="f"/>
        </w:pict>
      </w:r>
    </w:p>
    <w:p w:rsidR="005E5A2A" w:rsidRPr="005E5A2A" w:rsidRDefault="005E5A2A" w:rsidP="005E5A2A">
      <w:pPr>
        <w:spacing w:before="200" w:after="100" w:afterAutospacing="1" w:line="240" w:lineRule="auto"/>
        <w:rPr>
          <w:rFonts w:ascii="Arial" w:eastAsia="Times New Roman" w:hAnsi="Arial" w:cs="Arial"/>
          <w:sz w:val="20"/>
          <w:szCs w:val="20"/>
        </w:rPr>
      </w:pPr>
      <w:hyperlink r:id="rId28"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24" name="Picture 24"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1" w:name="40:7.0.1.1.1.1.151.1"/>
      <w:bookmarkEnd w:id="1"/>
      <w:r w:rsidRPr="005E5A2A">
        <w:rPr>
          <w:rFonts w:ascii="Arial" w:eastAsia="Times New Roman" w:hAnsi="Arial" w:cs="Arial"/>
          <w:b/>
          <w:bCs/>
          <w:sz w:val="20"/>
          <w:szCs w:val="20"/>
        </w:rPr>
        <w:t>§60.1   Applicability.</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5E5A2A" w:rsidRDefault="005E5A2A">
      <w:pPr>
        <w:rPr>
          <w:rFonts w:ascii="Arial" w:eastAsia="Times New Roman" w:hAnsi="Arial" w:cs="Arial"/>
          <w:sz w:val="20"/>
          <w:szCs w:val="20"/>
        </w:rPr>
      </w:pPr>
      <w:r>
        <w:rPr>
          <w:rFonts w:ascii="Arial" w:eastAsia="Times New Roman" w:hAnsi="Arial" w:cs="Arial"/>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(d) </w:t>
      </w:r>
      <w:r w:rsidRPr="005E5A2A">
        <w:rPr>
          <w:rFonts w:ascii="Arial" w:eastAsia="Times New Roman" w:hAnsi="Arial" w:cs="Arial"/>
          <w:i/>
          <w:iCs/>
          <w:sz w:val="20"/>
          <w:szCs w:val="20"/>
        </w:rPr>
        <w:t>Site-specific standard for Merck &amp; Co., Inc.'s Stonewall Plant in Elkton, Virginia.</w:t>
      </w:r>
      <w:r w:rsidRPr="005E5A2A">
        <w:rPr>
          <w:rFonts w:ascii="Arial" w:eastAsia="Times New Roman" w:hAnsi="Arial" w:cs="Arial"/>
          <w:sz w:val="20"/>
          <w:szCs w:val="20"/>
        </w:rPr>
        <w:t xml:space="preserve"> (1) This paragraph applies only to the pharmaceutical manufacturing facility, commonly referred to as the Stonewall Plant, located at Route 340 South, in Elkton, Virginia (“site”).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[40 FR 53346, Nov. 17, 1975, as amended at 55 FR 51382, Dec. 13, 1990; 59 FR 12427, Mar. 16, 1994; 62 FR 52641, Oct. 8, 1997]</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31"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23" name="Picture 23"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2" w:name="40:7.0.1.1.1.1.151.2"/>
      <w:bookmarkEnd w:id="2"/>
      <w:r w:rsidRPr="005E5A2A">
        <w:rPr>
          <w:rFonts w:ascii="Arial" w:eastAsia="Times New Roman" w:hAnsi="Arial" w:cs="Arial"/>
          <w:b/>
          <w:bCs/>
          <w:sz w:val="20"/>
          <w:szCs w:val="20"/>
        </w:rPr>
        <w:t>§60.2   Definitions.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The terms used in this part are defined in the Act or in this section as follows: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Act</w:t>
      </w:r>
      <w:r w:rsidRPr="005E5A2A">
        <w:rPr>
          <w:rFonts w:ascii="Arial" w:eastAsia="Times New Roman" w:hAnsi="Arial" w:cs="Arial"/>
          <w:sz w:val="20"/>
          <w:szCs w:val="20"/>
        </w:rPr>
        <w:t xml:space="preserve"> means the Clean Air Act (42 U.S.C. 7401 </w:t>
      </w:r>
      <w:r w:rsidRPr="005E5A2A">
        <w:rPr>
          <w:rFonts w:ascii="Arial" w:eastAsia="Times New Roman" w:hAnsi="Arial" w:cs="Arial"/>
          <w:i/>
          <w:iCs/>
          <w:sz w:val="20"/>
          <w:szCs w:val="20"/>
        </w:rPr>
        <w:t>et seq.</w:t>
      </w:r>
      <w:r w:rsidRPr="005E5A2A">
        <w:rPr>
          <w:rFonts w:ascii="Arial" w:eastAsia="Times New Roman" w:hAnsi="Arial" w:cs="Arial"/>
          <w:sz w:val="20"/>
          <w:szCs w:val="20"/>
        </w:rPr>
        <w:t xml:space="preserv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Administrator</w:t>
      </w:r>
      <w:r w:rsidRPr="005E5A2A">
        <w:rPr>
          <w:rFonts w:ascii="Arial" w:eastAsia="Times New Roman" w:hAnsi="Arial" w:cs="Arial"/>
          <w:sz w:val="20"/>
          <w:szCs w:val="20"/>
        </w:rPr>
        <w:t xml:space="preserve"> means the Administrator of the Environmental Protection Agency or his authorized representative.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Affected facility</w:t>
      </w:r>
      <w:r w:rsidRPr="005E5A2A">
        <w:rPr>
          <w:rFonts w:ascii="Arial" w:eastAsia="Times New Roman" w:hAnsi="Arial" w:cs="Arial"/>
          <w:sz w:val="20"/>
          <w:szCs w:val="20"/>
        </w:rPr>
        <w:t xml:space="preserve"> means, with reference to a stationary source, any apparatus to which a standard is applicable.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Alternative method</w:t>
      </w:r>
      <w:r w:rsidRPr="005E5A2A">
        <w:rPr>
          <w:rFonts w:ascii="Arial" w:eastAsia="Times New Roman" w:hAnsi="Arial" w:cs="Arial"/>
          <w:sz w:val="20"/>
          <w:szCs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Approved permit program</w:t>
      </w:r>
      <w:r w:rsidRPr="005E5A2A">
        <w:rPr>
          <w:rFonts w:ascii="Arial" w:eastAsia="Times New Roman" w:hAnsi="Arial" w:cs="Arial"/>
          <w:sz w:val="20"/>
          <w:szCs w:val="20"/>
        </w:rPr>
        <w:t xml:space="preserve"> means a State permit program approved by the Administrator as meeting the requirements of part 70 of this chapter or a Federal permit program established in this chapter pursuant to Title V of the Act (42 U.S.C. 7661).</w:t>
      </w:r>
    </w:p>
    <w:p w:rsidR="005E5A2A" w:rsidRDefault="005E5A2A">
      <w:pPr>
        <w:rPr>
          <w:rFonts w:ascii="Arial" w:eastAsia="Times New Roman" w:hAnsi="Arial" w:cs="Arial"/>
          <w:i/>
          <w:iCs/>
          <w:sz w:val="20"/>
          <w:szCs w:val="20"/>
        </w:rPr>
      </w:pPr>
      <w:r>
        <w:rPr>
          <w:rFonts w:ascii="Arial" w:eastAsia="Times New Roman" w:hAnsi="Arial" w:cs="Arial"/>
          <w:i/>
          <w:iCs/>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lastRenderedPageBreak/>
        <w:t>Capital expenditure</w:t>
      </w:r>
      <w:r w:rsidRPr="005E5A2A">
        <w:rPr>
          <w:rFonts w:ascii="Arial" w:eastAsia="Times New Roman" w:hAnsi="Arial" w:cs="Arial"/>
          <w:sz w:val="20"/>
          <w:szCs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Clean coal technology demonstration project</w:t>
      </w:r>
      <w:r w:rsidRPr="005E5A2A">
        <w:rPr>
          <w:rFonts w:ascii="Arial" w:eastAsia="Times New Roman" w:hAnsi="Arial" w:cs="Arial"/>
          <w:sz w:val="20"/>
          <w:szCs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Commenced</w:t>
      </w:r>
      <w:r w:rsidRPr="005E5A2A">
        <w:rPr>
          <w:rFonts w:ascii="Arial" w:eastAsia="Times New Roman" w:hAnsi="Arial" w:cs="Arial"/>
          <w:sz w:val="20"/>
          <w:szCs w:val="20"/>
        </w:rPr>
        <w:t xml:space="preserve"> means, with respect to the definition of </w:t>
      </w:r>
      <w:r w:rsidRPr="005E5A2A">
        <w:rPr>
          <w:rFonts w:ascii="Arial" w:eastAsia="Times New Roman" w:hAnsi="Arial" w:cs="Arial"/>
          <w:i/>
          <w:iCs/>
          <w:sz w:val="20"/>
          <w:szCs w:val="20"/>
        </w:rPr>
        <w:t>new source</w:t>
      </w:r>
      <w:r w:rsidRPr="005E5A2A">
        <w:rPr>
          <w:rFonts w:ascii="Arial" w:eastAsia="Times New Roman" w:hAnsi="Arial" w:cs="Arial"/>
          <w:sz w:val="20"/>
          <w:szCs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Construction</w:t>
      </w:r>
      <w:r w:rsidRPr="005E5A2A">
        <w:rPr>
          <w:rFonts w:ascii="Arial" w:eastAsia="Times New Roman" w:hAnsi="Arial" w:cs="Arial"/>
          <w:sz w:val="20"/>
          <w:szCs w:val="20"/>
        </w:rPr>
        <w:t xml:space="preserve"> means fabrication, erection, or installation of an affected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Continuous monitoring system</w:t>
      </w:r>
      <w:r w:rsidRPr="005E5A2A">
        <w:rPr>
          <w:rFonts w:ascii="Arial" w:eastAsia="Times New Roman" w:hAnsi="Arial" w:cs="Arial"/>
          <w:sz w:val="20"/>
          <w:szCs w:val="20"/>
        </w:rPr>
        <w:t xml:space="preserve"> means the total equipment, required under the emission monitoring sections in applicable subparts, used to sample and condition (if applicable), to analyze, and to provide a permanent record of emissions or process parameters.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Electric utility steam generating unit</w:t>
      </w:r>
      <w:r w:rsidRPr="005E5A2A">
        <w:rPr>
          <w:rFonts w:ascii="Arial" w:eastAsia="Times New Roman" w:hAnsi="Arial" w:cs="Arial"/>
          <w:sz w:val="20"/>
          <w:szCs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Equivalent method</w:t>
      </w:r>
      <w:r w:rsidRPr="005E5A2A">
        <w:rPr>
          <w:rFonts w:ascii="Arial" w:eastAsia="Times New Roman" w:hAnsi="Arial" w:cs="Arial"/>
          <w:sz w:val="20"/>
          <w:szCs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Excess Emissions and Monitoring Systems Performance Report</w:t>
      </w:r>
      <w:r w:rsidRPr="005E5A2A">
        <w:rPr>
          <w:rFonts w:ascii="Arial" w:eastAsia="Times New Roman" w:hAnsi="Arial" w:cs="Arial"/>
          <w:sz w:val="20"/>
          <w:szCs w:val="20"/>
        </w:rPr>
        <w:t xml:space="preserve"> is a report that must be submitted periodically by a source in order to provide data on its compliance with stated emission limits and operating parameters, and on the performance of its monitoring systems.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Existing facility</w:t>
      </w:r>
      <w:r w:rsidRPr="005E5A2A">
        <w:rPr>
          <w:rFonts w:ascii="Arial" w:eastAsia="Times New Roman" w:hAnsi="Arial" w:cs="Arial"/>
          <w:sz w:val="20"/>
          <w:szCs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Force majeure</w:t>
      </w:r>
      <w:r w:rsidRPr="005E5A2A">
        <w:rPr>
          <w:rFonts w:ascii="Arial" w:eastAsia="Times New Roman" w:hAnsi="Arial" w:cs="Arial"/>
          <w:sz w:val="20"/>
          <w:szCs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E5A2A" w:rsidRDefault="005E5A2A">
      <w:pPr>
        <w:rPr>
          <w:rFonts w:ascii="Arial" w:eastAsia="Times New Roman" w:hAnsi="Arial" w:cs="Arial"/>
          <w:i/>
          <w:iCs/>
          <w:sz w:val="20"/>
          <w:szCs w:val="20"/>
        </w:rPr>
      </w:pPr>
      <w:r>
        <w:rPr>
          <w:rFonts w:ascii="Arial" w:eastAsia="Times New Roman" w:hAnsi="Arial" w:cs="Arial"/>
          <w:i/>
          <w:iCs/>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lastRenderedPageBreak/>
        <w:t>Isokinetic sampling</w:t>
      </w:r>
      <w:r w:rsidRPr="005E5A2A">
        <w:rPr>
          <w:rFonts w:ascii="Arial" w:eastAsia="Times New Roman" w:hAnsi="Arial" w:cs="Arial"/>
          <w:sz w:val="20"/>
          <w:szCs w:val="20"/>
        </w:rPr>
        <w:t xml:space="preserve"> means sampling in which the linear velocity of the gas entering the sampling nozzle is equal to that of the undisturbed gas stream at the sample point.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Issuance</w:t>
      </w:r>
      <w:r w:rsidRPr="005E5A2A">
        <w:rPr>
          <w:rFonts w:ascii="Arial" w:eastAsia="Times New Roman" w:hAnsi="Arial" w:cs="Arial"/>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Malfunction</w:t>
      </w:r>
      <w:r w:rsidRPr="005E5A2A">
        <w:rPr>
          <w:rFonts w:ascii="Arial" w:eastAsia="Times New Roman" w:hAnsi="Arial" w:cs="Arial"/>
          <w:sz w:val="20"/>
          <w:szCs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Modification</w:t>
      </w:r>
      <w:r w:rsidRPr="005E5A2A">
        <w:rPr>
          <w:rFonts w:ascii="Arial" w:eastAsia="Times New Roman" w:hAnsi="Arial" w:cs="Arial"/>
          <w:sz w:val="20"/>
          <w:szCs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Monitoring device</w:t>
      </w:r>
      <w:r w:rsidRPr="005E5A2A">
        <w:rPr>
          <w:rFonts w:ascii="Arial" w:eastAsia="Times New Roman" w:hAnsi="Arial" w:cs="Arial"/>
          <w:sz w:val="20"/>
          <w:szCs w:val="20"/>
        </w:rPr>
        <w:t xml:space="preserve"> means the total equipment, required under the monitoring of operations sections in applicable subparts, used to measure and record (if applicable) process parameters.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Nitrogen oxides</w:t>
      </w:r>
      <w:r w:rsidRPr="005E5A2A">
        <w:rPr>
          <w:rFonts w:ascii="Arial" w:eastAsia="Times New Roman" w:hAnsi="Arial" w:cs="Arial"/>
          <w:sz w:val="20"/>
          <w:szCs w:val="20"/>
        </w:rPr>
        <w:t xml:space="preserve"> means all oxides of nitrogen except nitrous oxide, as measured by test methods set forth in this part.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One-hour period</w:t>
      </w:r>
      <w:r w:rsidRPr="005E5A2A">
        <w:rPr>
          <w:rFonts w:ascii="Arial" w:eastAsia="Times New Roman" w:hAnsi="Arial" w:cs="Arial"/>
          <w:sz w:val="20"/>
          <w:szCs w:val="20"/>
        </w:rPr>
        <w:t xml:space="preserve"> means any 60-minute period commencing on the hour.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Opacity</w:t>
      </w:r>
      <w:r w:rsidRPr="005E5A2A">
        <w:rPr>
          <w:rFonts w:ascii="Arial" w:eastAsia="Times New Roman" w:hAnsi="Arial" w:cs="Arial"/>
          <w:sz w:val="20"/>
          <w:szCs w:val="20"/>
        </w:rPr>
        <w:t xml:space="preserve"> means the degree to which emissions reduce the transmission of light and obscure the view of an object in the background.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Owner or operator</w:t>
      </w:r>
      <w:r w:rsidRPr="005E5A2A">
        <w:rPr>
          <w:rFonts w:ascii="Arial" w:eastAsia="Times New Roman" w:hAnsi="Arial" w:cs="Arial"/>
          <w:sz w:val="20"/>
          <w:szCs w:val="20"/>
        </w:rPr>
        <w:t xml:space="preserve"> means any person who owns, leases, operates, controls, or supervises an affected facility or a stationary source of which an affected facility is a part.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Part 70 permit</w:t>
      </w:r>
      <w:r w:rsidRPr="005E5A2A">
        <w:rPr>
          <w:rFonts w:ascii="Arial" w:eastAsia="Times New Roman" w:hAnsi="Arial" w:cs="Arial"/>
          <w:sz w:val="20"/>
          <w:szCs w:val="20"/>
        </w:rPr>
        <w:t xml:space="preserve"> means any permit issued, renewed, or revised pursuant to part 70 of this chapter.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Particulate matter</w:t>
      </w:r>
      <w:r w:rsidRPr="005E5A2A">
        <w:rPr>
          <w:rFonts w:ascii="Arial" w:eastAsia="Times New Roman" w:hAnsi="Arial" w:cs="Arial"/>
          <w:sz w:val="20"/>
          <w:szCs w:val="20"/>
        </w:rPr>
        <w:t xml:space="preserve"> means any finely divided solid or liquid material, other than uncombined water, as measured by the reference methods specified under each applicable subpart, or an equivalent or alternative method.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Permit program</w:t>
      </w:r>
      <w:r w:rsidRPr="005E5A2A">
        <w:rPr>
          <w:rFonts w:ascii="Arial" w:eastAsia="Times New Roman" w:hAnsi="Arial" w:cs="Arial"/>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Permitting authority</w:t>
      </w:r>
      <w:r w:rsidRPr="005E5A2A">
        <w:rPr>
          <w:rFonts w:ascii="Arial" w:eastAsia="Times New Roman" w:hAnsi="Arial" w:cs="Arial"/>
          <w:sz w:val="20"/>
          <w:szCs w:val="20"/>
        </w:rPr>
        <w:t xml:space="preserve"> means: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The State air pollution control agency, local agency, other State agency, or other agency authorized by the Administrator to carry out a permit program under part 70 of this chapter; or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The Administrator, in the case of EPA-implemented permit programs under title V of the Act (42 U.S.C. 7661). </w:t>
      </w:r>
    </w:p>
    <w:p w:rsidR="005E5A2A" w:rsidRDefault="005E5A2A">
      <w:pPr>
        <w:rPr>
          <w:rFonts w:ascii="Arial" w:eastAsia="Times New Roman" w:hAnsi="Arial" w:cs="Arial"/>
          <w:i/>
          <w:iCs/>
          <w:sz w:val="20"/>
          <w:szCs w:val="20"/>
        </w:rPr>
      </w:pPr>
      <w:r>
        <w:rPr>
          <w:rFonts w:ascii="Arial" w:eastAsia="Times New Roman" w:hAnsi="Arial" w:cs="Arial"/>
          <w:i/>
          <w:iCs/>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lastRenderedPageBreak/>
        <w:t>Proportional sampling</w:t>
      </w:r>
      <w:r w:rsidRPr="005E5A2A">
        <w:rPr>
          <w:rFonts w:ascii="Arial" w:eastAsia="Times New Roman" w:hAnsi="Arial" w:cs="Arial"/>
          <w:sz w:val="20"/>
          <w:szCs w:val="20"/>
        </w:rPr>
        <w:t xml:space="preserve"> means sampling at a rate that produces a constant ratio of sampling rate to stack gas flow rate.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Reactivation of a very clean coal-fired electric utility steam generating unit</w:t>
      </w:r>
      <w:r w:rsidRPr="005E5A2A">
        <w:rPr>
          <w:rFonts w:ascii="Arial" w:eastAsia="Times New Roman" w:hAnsi="Arial" w:cs="Arial"/>
          <w:sz w:val="20"/>
          <w:szCs w:val="20"/>
        </w:rPr>
        <w:t xml:space="preserve"> means any physical change or change in the method of operation associated with the commencement of commercial operations by a coal-fired utility unit after a period of discontinued operation where the unit: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Is equipped with low-NO</w:t>
      </w:r>
      <w:r w:rsidRPr="005E5A2A">
        <w:rPr>
          <w:rFonts w:ascii="Arial" w:eastAsia="Times New Roman" w:hAnsi="Arial" w:cs="Arial"/>
          <w:sz w:val="14"/>
          <w:szCs w:val="14"/>
          <w:vertAlign w:val="subscript"/>
        </w:rPr>
        <w:t>X</w:t>
      </w:r>
      <w:r w:rsidRPr="005E5A2A">
        <w:rPr>
          <w:rFonts w:ascii="Arial" w:eastAsia="Times New Roman" w:hAnsi="Arial" w:cs="Arial"/>
          <w:sz w:val="20"/>
          <w:szCs w:val="20"/>
        </w:rPr>
        <w:t xml:space="preserve"> burners prior to the time of commencement of operations following reactivation; and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Is otherwise in compliance with the requirements of the Clean Air Act.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Reference method</w:t>
      </w:r>
      <w:r w:rsidRPr="005E5A2A">
        <w:rPr>
          <w:rFonts w:ascii="Arial" w:eastAsia="Times New Roman" w:hAnsi="Arial" w:cs="Arial"/>
          <w:sz w:val="20"/>
          <w:szCs w:val="20"/>
        </w:rPr>
        <w:t xml:space="preserve"> means any method of sampling and analyzing for an air pollutant as specified in the applicable subpart.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Repowering</w:t>
      </w:r>
      <w:r w:rsidRPr="005E5A2A">
        <w:rPr>
          <w:rFonts w:ascii="Arial" w:eastAsia="Times New Roman" w:hAnsi="Arial" w:cs="Arial"/>
          <w:sz w:val="20"/>
          <w:szCs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Run</w:t>
      </w:r>
      <w:r w:rsidRPr="005E5A2A">
        <w:rPr>
          <w:rFonts w:ascii="Arial" w:eastAsia="Times New Roman" w:hAnsi="Arial" w:cs="Arial"/>
          <w:sz w:val="20"/>
          <w:szCs w:val="20"/>
        </w:rPr>
        <w:t xml:space="preserve"> means the net period of time during which an emission sample is collected. Unless otherwise specified, a run may be either intermittent or continuous within the limits of good engineering practice.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Shutdown</w:t>
      </w:r>
      <w:r w:rsidRPr="005E5A2A">
        <w:rPr>
          <w:rFonts w:ascii="Arial" w:eastAsia="Times New Roman" w:hAnsi="Arial" w:cs="Arial"/>
          <w:sz w:val="20"/>
          <w:szCs w:val="20"/>
        </w:rPr>
        <w:t xml:space="preserve"> means the cessation of operation of an affected facility for any purpose.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Six-minute period</w:t>
      </w:r>
      <w:r w:rsidRPr="005E5A2A">
        <w:rPr>
          <w:rFonts w:ascii="Arial" w:eastAsia="Times New Roman" w:hAnsi="Arial" w:cs="Arial"/>
          <w:sz w:val="20"/>
          <w:szCs w:val="20"/>
        </w:rPr>
        <w:t xml:space="preserve"> means any one of the 10 equal parts of a one-hour period.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Standard</w:t>
      </w:r>
      <w:r w:rsidRPr="005E5A2A">
        <w:rPr>
          <w:rFonts w:ascii="Arial" w:eastAsia="Times New Roman" w:hAnsi="Arial" w:cs="Arial"/>
          <w:sz w:val="20"/>
          <w:szCs w:val="20"/>
        </w:rPr>
        <w:t xml:space="preserve"> means a standard of performance proposed or promulgated under this part.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Standard conditions</w:t>
      </w:r>
      <w:r w:rsidRPr="005E5A2A">
        <w:rPr>
          <w:rFonts w:ascii="Arial" w:eastAsia="Times New Roman" w:hAnsi="Arial" w:cs="Arial"/>
          <w:sz w:val="20"/>
          <w:szCs w:val="20"/>
        </w:rPr>
        <w:t xml:space="preserve"> means a temperature of 293 K (68F) and a pressure of 101.3 kilopascals (29.92 in Hg).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Startup</w:t>
      </w:r>
      <w:r w:rsidRPr="005E5A2A">
        <w:rPr>
          <w:rFonts w:ascii="Arial" w:eastAsia="Times New Roman" w:hAnsi="Arial" w:cs="Arial"/>
          <w:sz w:val="20"/>
          <w:szCs w:val="20"/>
        </w:rPr>
        <w:t xml:space="preserve"> means the setting in operation of an affected facility for any purpose.</w:t>
      </w:r>
    </w:p>
    <w:p w:rsidR="005E5A2A" w:rsidRDefault="005E5A2A">
      <w:pPr>
        <w:rPr>
          <w:rFonts w:ascii="Arial" w:eastAsia="Times New Roman" w:hAnsi="Arial" w:cs="Arial"/>
          <w:i/>
          <w:iCs/>
          <w:sz w:val="20"/>
          <w:szCs w:val="20"/>
        </w:rPr>
      </w:pPr>
      <w:r>
        <w:rPr>
          <w:rFonts w:ascii="Arial" w:eastAsia="Times New Roman" w:hAnsi="Arial" w:cs="Arial"/>
          <w:i/>
          <w:iCs/>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lastRenderedPageBreak/>
        <w:t>State</w:t>
      </w:r>
      <w:r w:rsidRPr="005E5A2A">
        <w:rPr>
          <w:rFonts w:ascii="Arial" w:eastAsia="Times New Roman" w:hAnsi="Arial" w:cs="Arial"/>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Stationary source</w:t>
      </w:r>
      <w:r w:rsidRPr="005E5A2A">
        <w:rPr>
          <w:rFonts w:ascii="Arial" w:eastAsia="Times New Roman" w:hAnsi="Arial" w:cs="Arial"/>
          <w:sz w:val="20"/>
          <w:szCs w:val="20"/>
        </w:rPr>
        <w:t xml:space="preserve"> means any building, structure, facility, or installation which emits or may emit any air pollutant.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Title V permit</w:t>
      </w:r>
      <w:r w:rsidRPr="005E5A2A">
        <w:rPr>
          <w:rFonts w:ascii="Arial" w:eastAsia="Times New Roman" w:hAnsi="Arial" w:cs="Arial"/>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i/>
          <w:iCs/>
          <w:sz w:val="20"/>
          <w:szCs w:val="20"/>
        </w:rPr>
        <w:t>Volatile Organic Compound</w:t>
      </w:r>
      <w:r w:rsidRPr="005E5A2A">
        <w:rPr>
          <w:rFonts w:ascii="Arial" w:eastAsia="Times New Roman" w:hAnsi="Arial" w:cs="Arial"/>
          <w:sz w:val="20"/>
          <w:szCs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 xml:space="preserve">[44 FR 55173, Sept. 25, 1979, as amended at 45 FR 5617, Jan. 23, 1980; 45 FR 85415, Dec. 24, 1980; 54 FR 6662, Feb. 14, 1989; 55 FR 51382, Dec. 13, 1990; 57 FR 32338, July 21, 1992; 59 FR 12427, Mar. 16, 1994; 72 FR 27442, May 16, 2007]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32"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22" name="Picture 22"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3" w:name="40:7.0.1.1.1.1.151.3"/>
      <w:bookmarkEnd w:id="3"/>
      <w:r w:rsidRPr="005E5A2A">
        <w:rPr>
          <w:rFonts w:ascii="Arial" w:eastAsia="Times New Roman" w:hAnsi="Arial" w:cs="Arial"/>
          <w:b/>
          <w:bCs/>
          <w:sz w:val="20"/>
          <w:szCs w:val="20"/>
        </w:rPr>
        <w:t>§60.3   Units and abbreviations.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Used in this part are abbreviations and symbols of units of measure. These are defined as follows: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(a) System International (SI) units of measure: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A—ampere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g—gram</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Hz—hertz</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J—joule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K—degree Kelvin</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kg—kilogram</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m—meter</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w:t>
      </w:r>
      <w:r w:rsidRPr="005E5A2A">
        <w:rPr>
          <w:rFonts w:ascii="Arial" w:eastAsia="Times New Roman" w:hAnsi="Arial" w:cs="Arial"/>
          <w:sz w:val="13"/>
          <w:szCs w:val="13"/>
          <w:vertAlign w:val="superscript"/>
        </w:rPr>
        <w:t>3</w:t>
      </w:r>
      <w:r w:rsidRPr="005E5A2A">
        <w:rPr>
          <w:rFonts w:ascii="Arial" w:eastAsia="Times New Roman" w:hAnsi="Arial" w:cs="Arial"/>
          <w:sz w:val="18"/>
          <w:szCs w:val="18"/>
        </w:rPr>
        <w:t>—cubic meter</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mg—milligram—10</w:t>
      </w:r>
      <w:r w:rsidRPr="005E5A2A">
        <w:rPr>
          <w:rFonts w:ascii="Arial" w:eastAsia="Times New Roman" w:hAnsi="Arial" w:cs="Arial"/>
          <w:sz w:val="13"/>
          <w:szCs w:val="13"/>
          <w:vertAlign w:val="superscript"/>
        </w:rPr>
        <w:t>−3</w:t>
      </w:r>
      <w:r w:rsidRPr="005E5A2A">
        <w:rPr>
          <w:rFonts w:ascii="Arial" w:eastAsia="Times New Roman" w:hAnsi="Arial" w:cs="Arial"/>
          <w:sz w:val="18"/>
          <w:szCs w:val="18"/>
        </w:rPr>
        <w:t xml:space="preserve"> gram</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mm—millimeter—10</w:t>
      </w:r>
      <w:r w:rsidRPr="005E5A2A">
        <w:rPr>
          <w:rFonts w:ascii="Arial" w:eastAsia="Times New Roman" w:hAnsi="Arial" w:cs="Arial"/>
          <w:sz w:val="13"/>
          <w:szCs w:val="13"/>
          <w:vertAlign w:val="superscript"/>
        </w:rPr>
        <w:t>−3</w:t>
      </w:r>
      <w:r w:rsidRPr="005E5A2A">
        <w:rPr>
          <w:rFonts w:ascii="Arial" w:eastAsia="Times New Roman" w:hAnsi="Arial" w:cs="Arial"/>
          <w:sz w:val="18"/>
          <w:szCs w:val="18"/>
        </w:rPr>
        <w:t xml:space="preserve"> meter</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Mg—megagram—10</w:t>
      </w:r>
      <w:r w:rsidRPr="005E5A2A">
        <w:rPr>
          <w:rFonts w:ascii="Arial" w:eastAsia="Times New Roman" w:hAnsi="Arial" w:cs="Arial"/>
          <w:sz w:val="13"/>
          <w:szCs w:val="13"/>
          <w:vertAlign w:val="superscript"/>
        </w:rPr>
        <w:t>6</w:t>
      </w:r>
      <w:r w:rsidRPr="005E5A2A">
        <w:rPr>
          <w:rFonts w:ascii="Arial" w:eastAsia="Times New Roman" w:hAnsi="Arial" w:cs="Arial"/>
          <w:sz w:val="18"/>
          <w:szCs w:val="18"/>
        </w:rPr>
        <w:t xml:space="preserve"> gram</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mol—mole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N—newton</w:t>
      </w:r>
    </w:p>
    <w:p w:rsidR="005E5A2A" w:rsidRDefault="005E5A2A">
      <w:pPr>
        <w:rPr>
          <w:rFonts w:ascii="Arial" w:eastAsia="Times New Roman" w:hAnsi="Arial" w:cs="Arial"/>
          <w:sz w:val="18"/>
          <w:szCs w:val="18"/>
        </w:rPr>
      </w:pPr>
      <w:r>
        <w:rPr>
          <w:rFonts w:ascii="Arial" w:eastAsia="Times New Roman" w:hAnsi="Arial" w:cs="Arial"/>
          <w:sz w:val="18"/>
          <w:szCs w:val="18"/>
        </w:rPr>
        <w:br w:type="page"/>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lastRenderedPageBreak/>
        <w:t>ng—nanogram—10</w:t>
      </w:r>
      <w:r w:rsidRPr="005E5A2A">
        <w:rPr>
          <w:rFonts w:ascii="Arial" w:eastAsia="Times New Roman" w:hAnsi="Arial" w:cs="Arial"/>
          <w:sz w:val="13"/>
          <w:szCs w:val="13"/>
          <w:vertAlign w:val="superscript"/>
        </w:rPr>
        <w:t>−9</w:t>
      </w:r>
      <w:r w:rsidRPr="005E5A2A">
        <w:rPr>
          <w:rFonts w:ascii="Arial" w:eastAsia="Times New Roman" w:hAnsi="Arial" w:cs="Arial"/>
          <w:sz w:val="18"/>
          <w:szCs w:val="18"/>
        </w:rPr>
        <w:t xml:space="preserve"> gram</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nm—nanometer—10</w:t>
      </w:r>
      <w:r w:rsidRPr="005E5A2A">
        <w:rPr>
          <w:rFonts w:ascii="Arial" w:eastAsia="Times New Roman" w:hAnsi="Arial" w:cs="Arial"/>
          <w:sz w:val="13"/>
          <w:szCs w:val="13"/>
          <w:vertAlign w:val="superscript"/>
        </w:rPr>
        <w:t>−9</w:t>
      </w:r>
      <w:r w:rsidRPr="005E5A2A">
        <w:rPr>
          <w:rFonts w:ascii="Arial" w:eastAsia="Times New Roman" w:hAnsi="Arial" w:cs="Arial"/>
          <w:sz w:val="18"/>
          <w:szCs w:val="18"/>
        </w:rPr>
        <w:t xml:space="preserve"> meter</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Pa—pascal</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s—second</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V—volt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 xml:space="preserve">W—watt </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 xml:space="preserve">Ω—ohm </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µg—microgram—10</w:t>
      </w:r>
      <w:r w:rsidRPr="005E5A2A">
        <w:rPr>
          <w:rFonts w:ascii="Arial" w:eastAsia="Times New Roman" w:hAnsi="Arial" w:cs="Arial"/>
          <w:sz w:val="13"/>
          <w:szCs w:val="13"/>
          <w:vertAlign w:val="superscript"/>
        </w:rPr>
        <w:t>−6</w:t>
      </w:r>
      <w:r w:rsidRPr="005E5A2A">
        <w:rPr>
          <w:rFonts w:ascii="Arial" w:eastAsia="Times New Roman" w:hAnsi="Arial" w:cs="Arial"/>
          <w:sz w:val="18"/>
          <w:szCs w:val="18"/>
        </w:rPr>
        <w:t xml:space="preserve"> gram</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(b) Other units of measure: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Btu—British thermal unit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 xml:space="preserve">°C—degree Celsius (centigrade) </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 xml:space="preserve">cal—calorie </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cfm—cubic feet per minute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cu ft—cubic feet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dcf—dry cubic feet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dcm—dry cubic meter</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dscf—dry cubic feet at standard conditions</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dscm—dry cubic meter at standard conditions</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eq—equivalent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°F—degree Fahrenheit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ft—feet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gal—gallon</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gr—grain</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g-eq—gram equivalent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hr—hour</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in—inch</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k—1,000</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l—liter</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lpm—liter per minute</w:t>
      </w:r>
    </w:p>
    <w:p w:rsidR="005E5A2A" w:rsidRDefault="005E5A2A">
      <w:pPr>
        <w:rPr>
          <w:rFonts w:ascii="Arial" w:eastAsia="Times New Roman" w:hAnsi="Arial" w:cs="Arial"/>
          <w:sz w:val="18"/>
          <w:szCs w:val="18"/>
        </w:rPr>
      </w:pPr>
      <w:r>
        <w:rPr>
          <w:rFonts w:ascii="Arial" w:eastAsia="Times New Roman" w:hAnsi="Arial" w:cs="Arial"/>
          <w:sz w:val="18"/>
          <w:szCs w:val="18"/>
        </w:rPr>
        <w:br w:type="page"/>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lastRenderedPageBreak/>
        <w:t>lb—pound</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meq—milliequivalent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min—minute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ml—milliliter</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mol. wt.—molecular weight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ppb—parts per billion</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ppm—parts per million</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psia—pounds per square inch absolute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psig—pounds per square inch gage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°R—degree Rankine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scf—cubic feet at standard conditions</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scfh—cubic feet per hour at standard conditions</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scm—cubic meter at standard conditions</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sec—second</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sq ft—square feet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std—at standard conditions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(c) Chemical nomenclature: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CdS—cadmium sulfide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CO—carbon monoxide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CO</w:t>
      </w:r>
      <w:r w:rsidRPr="005E5A2A">
        <w:rPr>
          <w:rFonts w:ascii="Arial" w:eastAsia="Times New Roman" w:hAnsi="Arial" w:cs="Arial"/>
          <w:sz w:val="13"/>
          <w:szCs w:val="13"/>
          <w:vertAlign w:val="subscript"/>
        </w:rPr>
        <w:t>2</w:t>
      </w:r>
      <w:r w:rsidRPr="005E5A2A">
        <w:rPr>
          <w:rFonts w:ascii="Arial" w:eastAsia="Times New Roman" w:hAnsi="Arial" w:cs="Arial"/>
          <w:sz w:val="18"/>
          <w:szCs w:val="18"/>
        </w:rPr>
        <w:t>—carbon dioxide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HCl—hydrochloric acid</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Hg—mercury</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H</w:t>
      </w:r>
      <w:r w:rsidRPr="005E5A2A">
        <w:rPr>
          <w:rFonts w:ascii="Arial" w:eastAsia="Times New Roman" w:hAnsi="Arial" w:cs="Arial"/>
          <w:sz w:val="13"/>
          <w:szCs w:val="13"/>
          <w:vertAlign w:val="subscript"/>
        </w:rPr>
        <w:t>2</w:t>
      </w:r>
      <w:r w:rsidRPr="005E5A2A">
        <w:rPr>
          <w:rFonts w:ascii="Arial" w:eastAsia="Times New Roman" w:hAnsi="Arial" w:cs="Arial"/>
          <w:sz w:val="18"/>
          <w:szCs w:val="18"/>
        </w:rPr>
        <w:t>O—water</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H</w:t>
      </w:r>
      <w:r w:rsidRPr="005E5A2A">
        <w:rPr>
          <w:rFonts w:ascii="Arial" w:eastAsia="Times New Roman" w:hAnsi="Arial" w:cs="Arial"/>
          <w:sz w:val="13"/>
          <w:szCs w:val="13"/>
          <w:vertAlign w:val="subscript"/>
        </w:rPr>
        <w:t>2</w:t>
      </w:r>
      <w:r w:rsidRPr="005E5A2A">
        <w:rPr>
          <w:rFonts w:ascii="Arial" w:eastAsia="Times New Roman" w:hAnsi="Arial" w:cs="Arial"/>
          <w:sz w:val="18"/>
          <w:szCs w:val="18"/>
        </w:rPr>
        <w:t>S—hydrogen sulfide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H</w:t>
      </w:r>
      <w:r w:rsidRPr="005E5A2A">
        <w:rPr>
          <w:rFonts w:ascii="Arial" w:eastAsia="Times New Roman" w:hAnsi="Arial" w:cs="Arial"/>
          <w:sz w:val="13"/>
          <w:szCs w:val="13"/>
          <w:vertAlign w:val="subscript"/>
        </w:rPr>
        <w:t>2</w:t>
      </w:r>
      <w:r w:rsidRPr="005E5A2A">
        <w:rPr>
          <w:rFonts w:ascii="Arial" w:eastAsia="Times New Roman" w:hAnsi="Arial" w:cs="Arial"/>
          <w:sz w:val="18"/>
          <w:szCs w:val="18"/>
        </w:rPr>
        <w:t>SO</w:t>
      </w:r>
      <w:r w:rsidRPr="005E5A2A">
        <w:rPr>
          <w:rFonts w:ascii="Arial" w:eastAsia="Times New Roman" w:hAnsi="Arial" w:cs="Arial"/>
          <w:sz w:val="13"/>
          <w:szCs w:val="13"/>
          <w:vertAlign w:val="subscript"/>
        </w:rPr>
        <w:t>4</w:t>
      </w:r>
      <w:r w:rsidRPr="005E5A2A">
        <w:rPr>
          <w:rFonts w:ascii="Arial" w:eastAsia="Times New Roman" w:hAnsi="Arial" w:cs="Arial"/>
          <w:sz w:val="18"/>
          <w:szCs w:val="18"/>
        </w:rPr>
        <w:t>—sulfuric acid</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N</w:t>
      </w:r>
      <w:r w:rsidRPr="005E5A2A">
        <w:rPr>
          <w:rFonts w:ascii="Arial" w:eastAsia="Times New Roman" w:hAnsi="Arial" w:cs="Arial"/>
          <w:sz w:val="13"/>
          <w:szCs w:val="13"/>
          <w:vertAlign w:val="subscript"/>
        </w:rPr>
        <w:t>2</w:t>
      </w:r>
      <w:r w:rsidRPr="005E5A2A">
        <w:rPr>
          <w:rFonts w:ascii="Arial" w:eastAsia="Times New Roman" w:hAnsi="Arial" w:cs="Arial"/>
          <w:sz w:val="18"/>
          <w:szCs w:val="18"/>
        </w:rPr>
        <w:t>—nitrogen</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NO—nitric oxide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NO</w:t>
      </w:r>
      <w:r w:rsidRPr="005E5A2A">
        <w:rPr>
          <w:rFonts w:ascii="Arial" w:eastAsia="Times New Roman" w:hAnsi="Arial" w:cs="Arial"/>
          <w:sz w:val="13"/>
          <w:szCs w:val="13"/>
          <w:vertAlign w:val="subscript"/>
        </w:rPr>
        <w:t>2</w:t>
      </w:r>
      <w:r w:rsidRPr="005E5A2A">
        <w:rPr>
          <w:rFonts w:ascii="Arial" w:eastAsia="Times New Roman" w:hAnsi="Arial" w:cs="Arial"/>
          <w:sz w:val="18"/>
          <w:szCs w:val="18"/>
        </w:rPr>
        <w:t>—nitrogen dioxide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NO</w:t>
      </w:r>
      <w:r w:rsidRPr="005E5A2A">
        <w:rPr>
          <w:rFonts w:ascii="Arial" w:eastAsia="Times New Roman" w:hAnsi="Arial" w:cs="Arial"/>
          <w:sz w:val="13"/>
          <w:szCs w:val="13"/>
          <w:vertAlign w:val="subscript"/>
        </w:rPr>
        <w:t>X</w:t>
      </w:r>
      <w:r w:rsidRPr="005E5A2A">
        <w:rPr>
          <w:rFonts w:ascii="Arial" w:eastAsia="Times New Roman" w:hAnsi="Arial" w:cs="Arial"/>
          <w:sz w:val="18"/>
          <w:szCs w:val="18"/>
        </w:rPr>
        <w:t>—nitrogen oxides</w:t>
      </w:r>
    </w:p>
    <w:p w:rsidR="005E5A2A" w:rsidRDefault="005E5A2A">
      <w:pPr>
        <w:rPr>
          <w:rFonts w:ascii="Arial" w:eastAsia="Times New Roman" w:hAnsi="Arial" w:cs="Arial"/>
          <w:sz w:val="18"/>
          <w:szCs w:val="18"/>
        </w:rPr>
      </w:pPr>
      <w:r>
        <w:rPr>
          <w:rFonts w:ascii="Arial" w:eastAsia="Times New Roman" w:hAnsi="Arial" w:cs="Arial"/>
          <w:sz w:val="18"/>
          <w:szCs w:val="18"/>
        </w:rPr>
        <w:br w:type="page"/>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lastRenderedPageBreak/>
        <w:t>O</w:t>
      </w:r>
      <w:r w:rsidRPr="005E5A2A">
        <w:rPr>
          <w:rFonts w:ascii="Arial" w:eastAsia="Times New Roman" w:hAnsi="Arial" w:cs="Arial"/>
          <w:sz w:val="13"/>
          <w:szCs w:val="13"/>
          <w:vertAlign w:val="subscript"/>
        </w:rPr>
        <w:t>2</w:t>
      </w:r>
      <w:r w:rsidRPr="005E5A2A">
        <w:rPr>
          <w:rFonts w:ascii="Arial" w:eastAsia="Times New Roman" w:hAnsi="Arial" w:cs="Arial"/>
          <w:sz w:val="18"/>
          <w:szCs w:val="18"/>
        </w:rPr>
        <w:t>—oxygen</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SO</w:t>
      </w:r>
      <w:r w:rsidRPr="005E5A2A">
        <w:rPr>
          <w:rFonts w:ascii="Arial" w:eastAsia="Times New Roman" w:hAnsi="Arial" w:cs="Arial"/>
          <w:sz w:val="13"/>
          <w:szCs w:val="13"/>
          <w:vertAlign w:val="subscript"/>
        </w:rPr>
        <w:t>2</w:t>
      </w:r>
      <w:r w:rsidRPr="005E5A2A">
        <w:rPr>
          <w:rFonts w:ascii="Arial" w:eastAsia="Times New Roman" w:hAnsi="Arial" w:cs="Arial"/>
          <w:sz w:val="18"/>
          <w:szCs w:val="18"/>
        </w:rPr>
        <w:t>—sulfur dioxide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SO</w:t>
      </w:r>
      <w:r w:rsidRPr="005E5A2A">
        <w:rPr>
          <w:rFonts w:ascii="Arial" w:eastAsia="Times New Roman" w:hAnsi="Arial" w:cs="Arial"/>
          <w:sz w:val="13"/>
          <w:szCs w:val="13"/>
          <w:vertAlign w:val="subscript"/>
        </w:rPr>
        <w:t>3</w:t>
      </w:r>
      <w:r w:rsidRPr="005E5A2A">
        <w:rPr>
          <w:rFonts w:ascii="Arial" w:eastAsia="Times New Roman" w:hAnsi="Arial" w:cs="Arial"/>
          <w:sz w:val="18"/>
          <w:szCs w:val="18"/>
        </w:rPr>
        <w:t>—sulfur trioxide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SO</w:t>
      </w:r>
      <w:r w:rsidRPr="005E5A2A">
        <w:rPr>
          <w:rFonts w:ascii="Arial" w:eastAsia="Times New Roman" w:hAnsi="Arial" w:cs="Arial"/>
          <w:sz w:val="13"/>
          <w:szCs w:val="13"/>
          <w:vertAlign w:val="subscript"/>
        </w:rPr>
        <w:t>X</w:t>
      </w:r>
      <w:r w:rsidRPr="005E5A2A">
        <w:rPr>
          <w:rFonts w:ascii="Arial" w:eastAsia="Times New Roman" w:hAnsi="Arial" w:cs="Arial"/>
          <w:sz w:val="18"/>
          <w:szCs w:val="18"/>
        </w:rPr>
        <w:t>—sulfur oxides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(d) Miscellaneous:</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A.S.T.M.—American Society for Testing and Materials</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[42 FR 37000, July 19, 1977; 42 FR 38178, July 27, 1977]</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33"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21" name="Picture 21"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4" w:name="40:7.0.1.1.1.1.151.4"/>
      <w:bookmarkEnd w:id="4"/>
      <w:r w:rsidRPr="005E5A2A">
        <w:rPr>
          <w:rFonts w:ascii="Arial" w:eastAsia="Times New Roman" w:hAnsi="Arial" w:cs="Arial"/>
          <w:b/>
          <w:bCs/>
          <w:sz w:val="20"/>
          <w:szCs w:val="20"/>
        </w:rPr>
        <w:t>§60.4   Address.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Region I (Connecticut, Maine, Massachusetts, New Hampshire, Rhode Island, Vermont), Director, Office of Ecosystem Protection, U.S. Environmental Protection Agency, 5 Post Office Square—Suite 100, Boston, MA 02109-3912.</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 xml:space="preserve">Region II (New Jersey, New York, Puerto Rico, Virgin Islands), Director, Air and Waste Management Division, U.S. Environmental Protection Agency, Federal Office Building, 26 Federal Plaza (Foley Square), New York, NY 10278. </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 xml:space="preserve">Region III (Delaware, District of Columbia, Maryland, Pennsylvania, Virginia, West Virginia), Director, Air Protection Division, Mail Code 3AP00, 1650 Arch Street, Philadelphia, PA 19103-2029. </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 xml:space="preserve">Region V (Illinois, Indiana, Michigan, Minnesota, Ohio, Wisconsin), Director, Air and Radiation Division, U.S. Environmental Protection Agency, 77 West Jackson Boulevard, Chicago, IL 60604-3590. </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Region VI (Arkansas, Louisiana, New Mexico, Oklahoma, Texas); Director; Air, Pesticides, and Toxics Division; U.S. Environmental Protection Agency, 1445 Ross Avenue, Dallas, TX 75202.</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Region VII (Iowa, Kansas, Missouri, Nebraska), Director, Air and Waste Management Division, 11201 Renner Boulevard, Lenexa, Kansas 66219.</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Region VIII (Colorado, Montana, North Dakota, South Dakota, Utah, Wyoming) Director, Air and Toxics Technical Enforcement Program, Office of Enforcement, Compliance and Environmental Justice, Mail Code 8ENF-AT, 1595 Wynkoop Street, Denver, CO 80202-1129.</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lastRenderedPageBreak/>
        <w:t>Region X (Alaska, Oregon, Idaho, Washington), Director, Air and Waste Management Division, U.S. Environmental Protection Agency, 1200 Sixth Avenue, Seattle, WA 98101.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 xml:space="preserve">(A) [Reserved] </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 xml:space="preserve">(B) State of Alabama: Alabama Department of Environmental Management, P.O. Box 301463, Montgomery, Alabama 36130-1463. </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 xml:space="preserve">(C) State of Alaska, Department of Environmental Conservation, Pouch O, Juneau, AK 99811. </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(D) Arizona:</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Arizona Department of Environmental Quality, 1110 West Washington Street, Phoenix, AZ 85007.</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Maricopa County Air Quality Department, 1001 North Central Avenue, Suite 900, Phoenix, AZ 85004.</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Pima County Department of Environmental Quality, 33 North Stone Avenue, Suite 700, Tucson, AZ 85701.</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Pinal County Air Quality Control District, 31 North Pinal Street, Building F, Florence, AZ 85132.</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tables listing the delegation status of agencies in Region IX, see paragraph (d)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(E) State of Arkansas: Chief, Division of Air Pollution Control, Arkansas Department of Pollution Control and Ecology, 8001 National Drive, P.O. Box 9583, Little Rock, AR 72209.</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(F) California:</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Amador County Air Pollution Control District, 12200-B Airport Road, Jackson, CA 95642.</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Antelope Valley Air Quality Management District, 43301 Division Street, Suite 206, Lancaster, CA 93535.</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Bay Area Air Quality Management District, 939 Ellis Street, San Francisco, CA 94109.</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Butte County Air Quality Management District, 2525 Dominic Drive, Suite J, Chico, CA 95928.</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Calaveras County Air Pollution Control District, 891 Mountain Ranch Road, San Andreas, CA 95249.</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Colusa County Air Pollution Control District, 100 Sunrise Blvd., Suite A-3, Colusa, CA 95932-3246.</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El Dorado County Air Quality Management District, 2850 Fairlane Court, Bldg. C, Placerville, CA 95667-4100.</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Eastern Kern Air Pollution Control District, 2700 “M” Street, Suite 302, Bakersfield, CA 93301-2370.</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Feather River Air Quality Management District, 1007 Live Oak Blvd., Suite B-3, Yuba City, CA 95991.</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Glenn County Air Pollution Control District, 720 N. Colusa Street, P.O. Box 351, Willows, CA 95988-0351.</w:t>
      </w:r>
    </w:p>
    <w:p w:rsidR="005E5A2A" w:rsidRDefault="005E5A2A">
      <w:pPr>
        <w:rPr>
          <w:rFonts w:ascii="Arial" w:eastAsia="Times New Roman" w:hAnsi="Arial" w:cs="Arial"/>
          <w:sz w:val="18"/>
          <w:szCs w:val="18"/>
        </w:rPr>
      </w:pPr>
      <w:r>
        <w:rPr>
          <w:rFonts w:ascii="Arial" w:eastAsia="Times New Roman" w:hAnsi="Arial" w:cs="Arial"/>
          <w:sz w:val="18"/>
          <w:szCs w:val="18"/>
        </w:rPr>
        <w:br w:type="page"/>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lastRenderedPageBreak/>
        <w:t>Great Basin Unified Air Pollution Control District, 157 Short Street, Suite 6, Bishop, CA 93514-3537.</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Imperial County Air Pollution Control District, 150 South Ninth Street, El Centro, CA 92243-2801.</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Lake County Air Quality Management District, 885 Lakeport Blvd., Lakeport, CA 95453-5405.</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Lassen County Air Pollution Control District, 707 Nevada Street, Suite 1, Susanville, CA 96130.</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Mariposa County Air Pollution Control District, P.O. Box 5, Mariposa, CA 95338.</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Mendocino County Air Quality Management District, 306 E. Gobbi Street, Ukiah, CA 95482-5511.</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Modoc County Air Pollution Control District, 619 North Main Street, Alturas, CA 96101.</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Mojave Desert Air Quality Management District, 14306 Park Avenue, Victorville, CA 92392-2310.</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Monterey Bay Unified Air Pollution Control District, 24580 Silver Cloud Court, Monterey, CA 93940.</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North Coast Unified Air Quality Management District, 2300 Myrtle Avenue, Eureka, CA 95501-3327.</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Northern Sierra Air Quality Management District, 200 Litton Drive, Suite 320, P.O. Box 2509, Grass Valley, CA 95945-2509.</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Northern Sonoma County Air Pollution Control District, 150 Matheson Street, Healdsburg, CA 95448-4908.</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Placer County Air Pollution Control District, 3091 County Center Drive, Suite 240, Auburn, CA 95603.</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Sacramento Metropolitan Air Quality Management District, 777 12th Street, Third Floor, Sacramento, CA 95814-1908.</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San Diego County Air Pollution Control District, 10124 Old Grove Road, San Diego, CA 92131-1649.</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San Joaquin Valley Air Pollution Control District, 1990 E. Gettysburg, Fresno, CA 93726.</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San Luis Obispo County Air Pollution Control District, 3433 Roberto Court, San Luis Obispo, CA 93401-7126.</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Santa Barbara County Air Pollution Control District, 260 North San Antonio Road, Suite A, Santa Barbara, CA 93110-1315.</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Shasta County Air Quality Management District, 1855 Placer Street, Suite 101, Redding, CA 96001-1759.</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Siskiyou County Air Pollution Control District, 525 So. Foothill Drive, Yreka, CA 96097-3036.</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South Coast Air Quality Management District, 21865 Copley Drive, Diamond Bar, CA 91765-4182.</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Tehama County Air Pollution Control District, P.O. Box 8069 (1750 Walnut Street), Red Bluff, CA 96080-0038.</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Tuolumne County Air Pollution Control District, 22365 Airport, Columbia, CA 95310.</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Ventura County Air Pollution Control District, 669 County Square Drive, 2nd Floor, Ventura, CA 93003-5417.</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Yolo-Solano Air Quality Management District, 1947 Galileo Court, Suite 103, Davis, CA 95616-4882.</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tables listing the delegation status of agencies in Region IX, see paragraph (d)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 xml:space="preserve">(G) State of Colorado, Department of Public Health and Environment, 4300 Cherry Creek Drive South, Denver, CO 80222-1530. </w:t>
      </w:r>
    </w:p>
    <w:p w:rsidR="005E5A2A" w:rsidRDefault="005E5A2A">
      <w:pPr>
        <w:rPr>
          <w:rFonts w:ascii="Arial" w:eastAsia="Times New Roman" w:hAnsi="Arial" w:cs="Arial"/>
          <w:smallCaps/>
          <w:sz w:val="18"/>
          <w:szCs w:val="18"/>
        </w:rPr>
      </w:pPr>
      <w:r>
        <w:rPr>
          <w:rFonts w:ascii="Arial" w:eastAsia="Times New Roman" w:hAnsi="Arial" w:cs="Arial"/>
          <w:smallCaps/>
          <w:sz w:val="18"/>
          <w:szCs w:val="18"/>
        </w:rPr>
        <w:br w:type="page"/>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lastRenderedPageBreak/>
        <w:t>Note:</w:t>
      </w:r>
      <w:r w:rsidRPr="005E5A2A">
        <w:rPr>
          <w:rFonts w:ascii="Arial" w:eastAsia="Times New Roman" w:hAnsi="Arial" w:cs="Arial"/>
          <w:sz w:val="18"/>
          <w:szCs w:val="18"/>
        </w:rPr>
        <w:t xml:space="preserve"> For a table listing Region VIII's NSPS delegation status, see paragraph (c)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(H) State of Connecticut, Bureau of Air Management, Department of Environmental Protection, State Office Building, 165 Capitol Avenue, Hartford, CT 06106.</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(I) State of Delaware, Department of Natural Resources &amp; Environmental Control, 89 Kings Highway, P.O. Box 1401, Dover, Delaware 19903.</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(J) District of Columbia, Department of Public Health, Air Quality Division, 51 N Street, NE., Washington, DC 20002.</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(K) State of Florida: Florida Department of Environmental Protection, Division of Air Resources Management, 2600 Blair Stone Road, MS 5500, Tallahassee, Florida 32399-2400.</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 xml:space="preserve">(L) State of Georgia: Georgia Department of Natural Resources, Environmental Protection Division, Air Protection Branch, 4244 International Parkway, Suite 120, Atlanta, Georgia 30354. </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(M) Hawaii:</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Clean Air Branch, Hawaii Department of Health, 919 Ala Moana Blvd., Suite 203, Honolulu, HI 96814.</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tables listing the delegation status of agencies in Region IX, see paragraph (d)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 xml:space="preserve">(N) State of Idaho, Department of Health and Welfare, Statehouse, Boise, ID 83701. </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(O) State of Illinois: Illinois Environmental Protection Agency, 1021 North Grand Avenue East, Springfield, Illinois 62794.</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(P) State of Indiana: Indiana Department of Environmental Management, Office of Air Quality, 100 North Senate Avenue, Indianapolis, Indiana 46204.</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 xml:space="preserve">(Q) State of Iowa: Iowa Department of Natural Resources, Environmental Protection Division, Air Quality Bureau, 7900 Hickman Road, Suite 1, Urbandale, IA 50322. </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 xml:space="preserve">(R) State of Kansas: Kansas Department of Health and Environment, Bureau of Air and Radiation, 1000 S.W. Jackson, Suite 310, Topeka, KS 66612-1366. </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(S) Commonwealth of Kentucky: Commonwealth of Kentucky, Energy and Environment Cabinet, Department of Environmental Protection, Division for Air Quality, 200 Fair Oaks Lane, 1st Floor, Frankfort, Kentucky 40610-1403.</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Louisville Metro Air Pollution Control District, 850 Barret Avenue, Louisville, Kentucky 40204.</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 xml:space="preserve">(T) State Louisiana: Louisiana Department of Environmental Quality, P.O. Box 4301, Baton Rouge, Louisiana 70821-4301. For a list of delegated standards for Louisiana (excluding Indian country), see paragraph (e)(2) of this section.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(U) State of Maine, Bureau of Air Quality Control, Department of Environmental Protection, State House, Station No. 17, Augusta, ME 04333.</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(V) State of Maryland, Department of the Environment, 1800 Washington Boulevard, Suite 705, Baltimore, Maryland 21230.</w:t>
      </w:r>
    </w:p>
    <w:p w:rsidR="005E5A2A" w:rsidRDefault="005E5A2A">
      <w:pPr>
        <w:rPr>
          <w:rFonts w:ascii="Arial" w:eastAsia="Times New Roman" w:hAnsi="Arial" w:cs="Arial"/>
          <w:sz w:val="18"/>
          <w:szCs w:val="18"/>
        </w:rPr>
      </w:pPr>
      <w:r>
        <w:rPr>
          <w:rFonts w:ascii="Arial" w:eastAsia="Times New Roman" w:hAnsi="Arial" w:cs="Arial"/>
          <w:sz w:val="18"/>
          <w:szCs w:val="18"/>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lastRenderedPageBreak/>
        <w:t xml:space="preserve">(W) Commonwealth of Massachusetts, Division of Air Quality Control, Department of Environmental Protection, One Winter Street, 7th floor, Boston, MA 02108. </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(X) State of Michigan: Michigan Department of Natural Resources and Environment, Air Quality Division, P.O. Box 30028, Lansing, Michigan 48909.</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 xml:space="preserve">(Y) State of Minnesota: Minnesota Pollution Control Agency, Division of Air Quality, 520 Lafayette Road North, St. Paul, Minnesota 55155. </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(AA) State of Missouri: Missouri Department of Natural Resources, Division of Environmental Quality, P.O. Box 176, Jefferson City, MO 65102.</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(BB) State of Montana, Department of Environmental Quality, 1520 E. 6th Ave., PO Box 200901, Helena, MT 59620-0901.</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a table listing Region VIII's NSPS delegation status, see paragraph (c)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 xml:space="preserve">(CC) State of Nebraska, Nebraska Department of Environmental Control, P.O. Box 94877, State House Station, Lincoln, NE 68509. </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Lincoln-Lancaster County Health Department, Division of Environmental Health, 2200 St. Marys Avenue, Lincoln, NE 68502</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(DD) Nevada:</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Nevada Division of Environmental Protection, 901 South Stewart Street, Suite 4001, Carson City, NV 89701-5249.</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Clark County Department of Air Quality and Environmental Management, 500 S. Grand Central Parkway, 1st Floor, P.O. Box 555210, Las Vegas, NV 89155-5210.</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Washoe County Health District, Air Quality Management Division, 1001 E. 9th Street, Building A, Suite 115A, Reno, NV 89520.</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tables listing the delegation status of agencies in Region IX, see paragraph (d)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(EE) State of New Hampshire, Air Resources Division, Department of Environmental Services, 64 North Main Street, Caller Box 2033, Concord, NH 03302-2033.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(FF) State of New Jersey: New Jersey Department of Environmental Protection, Division of Environmental Quality, Enforcement Element, John Fitch Plaza, CN-027, Trenton, NJ 08625.</w:t>
      </w:r>
    </w:p>
    <w:p w:rsidR="005E5A2A" w:rsidRDefault="005E5A2A">
      <w:pPr>
        <w:rPr>
          <w:rFonts w:ascii="Arial" w:eastAsia="Times New Roman" w:hAnsi="Arial" w:cs="Arial"/>
          <w:sz w:val="20"/>
          <w:szCs w:val="20"/>
        </w:rPr>
      </w:pPr>
      <w:r>
        <w:rPr>
          <w:rFonts w:ascii="Arial" w:eastAsia="Times New Roman" w:hAnsi="Arial" w:cs="Arial"/>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7"/>
        <w:gridCol w:w="5807"/>
        <w:gridCol w:w="830"/>
        <w:gridCol w:w="641"/>
        <w:gridCol w:w="838"/>
        <w:gridCol w:w="941"/>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State</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Virgin Islands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120" w:type="dxa"/>
          <w:left w:w="15" w:type="dxa"/>
          <w:bottom w:w="15" w:type="dxa"/>
          <w:right w:w="15" w:type="dxa"/>
        </w:tblCellMar>
        <w:tblLook w:val="04A0" w:firstRow="1" w:lastRow="0" w:firstColumn="1" w:lastColumn="0" w:noHBand="0" w:noVBand="1"/>
      </w:tblPr>
      <w:tblGrid>
        <w:gridCol w:w="350"/>
        <w:gridCol w:w="5763"/>
        <w:gridCol w:w="809"/>
        <w:gridCol w:w="630"/>
        <w:gridCol w:w="811"/>
        <w:gridCol w:w="981"/>
      </w:tblGrid>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Y</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Ferroally Production Facilities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Arc Furnaces and Argon-Oxygen Decarburization Vessels in Steel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 Acid Battery Manufacturing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Light-Duty Truck Surface Coating Operations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 Industry Publication Rotogravure Printing</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Volatile Organic Compounds in Synthetic Organic Chemical Manufacturing Industry</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Clearners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120" w:type="dxa"/>
          <w:left w:w="15" w:type="dxa"/>
          <w:bottom w:w="15" w:type="dxa"/>
          <w:right w:w="15" w:type="dxa"/>
        </w:tblCellMar>
        <w:tblLook w:val="04A0" w:firstRow="1" w:lastRow="0" w:firstColumn="1" w:lastColumn="0" w:noHBand="0" w:noVBand="1"/>
      </w:tblPr>
      <w:tblGrid>
        <w:gridCol w:w="350"/>
        <w:gridCol w:w="5763"/>
        <w:gridCol w:w="809"/>
        <w:gridCol w:w="630"/>
        <w:gridCol w:w="811"/>
        <w:gridCol w:w="981"/>
      </w:tblGrid>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KKK</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Plants; SO</w:t>
            </w:r>
            <w:r w:rsidRPr="005E5A2A">
              <w:rPr>
                <w:rFonts w:ascii="Arial" w:eastAsia="Times New Roman" w:hAnsi="Arial" w:cs="Arial"/>
                <w:sz w:val="20"/>
                <w:szCs w:val="20"/>
                <w:vertAlign w:val="subscript"/>
              </w:rPr>
              <w:t>2</w:t>
            </w:r>
            <w:r w:rsidRPr="005E5A2A">
              <w:rPr>
                <w:rFonts w:ascii="Arial" w:eastAsia="Times New Roman" w:hAnsi="Arial" w:cs="Arial"/>
                <w:sz w:val="20"/>
                <w:szCs w:val="20"/>
              </w:rPr>
              <w:t xml:space="preserve"> Emissions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8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308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(GG) State of New Mexico: New Mexico Environment Department, 1190 St. Francis Drive, P.O. Box 26110, Santa Fe, New Mexico 87502. Note: For a list of delegated standards for New Mexico (excluding Bernalillo County and Indian country), see paragraph (e)(1) of this section.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Albuquerque-Bernalillo County Air Quality Control Board, c/o Environmental Health Department, P.O. Box 1293, Albuquerque, New Mexico 87103.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(ii) [Reserved]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(HH) New York: New York State Department of Environmental Conservation, 50 Wolf Road Albany, New York 12233, attention: Division of Air Resources.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(JJ) State of North Dakota, Division of Air Quality, North Dakota Department of Health, P.O. Box 5520, Bismarck, ND 58506-5520.</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a table listing Region VIII's NSPS delegation status, see paragraph (c)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(KK) State of Ohio:</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Medina, Summit and Portage Counties; Director, Akron Regional Air Quality Management District, 146 South High Street, Room 904, Akron, OH 44308.</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Stark County; Director, Canton City Health Department, Air Pollution Control Division, 420 Market Avenue North, Canton, Ohio 44702-1544.</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(iii) Butler, Clermont, Hamilton, and Warren Counties; Director, Hamilton County Department of Environmental Services, 250 William Howard Taft Road, Cincinnati, Ohio 45219-2660.</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(iv) Cuyahoga County; Commissioner, Cleveland Department of Public Health, Division of Air Quality, 75 Erieview Plaza 2nd Floor, Cleveland, Ohio 44114.</w:t>
      </w:r>
    </w:p>
    <w:p w:rsidR="005E5A2A" w:rsidRDefault="005E5A2A">
      <w:pPr>
        <w:rPr>
          <w:rFonts w:ascii="Arial" w:eastAsia="Times New Roman" w:hAnsi="Arial" w:cs="Arial"/>
          <w:sz w:val="20"/>
          <w:szCs w:val="20"/>
        </w:rPr>
      </w:pPr>
      <w:r>
        <w:rPr>
          <w:rFonts w:ascii="Arial" w:eastAsia="Times New Roman" w:hAnsi="Arial" w:cs="Arial"/>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(v) Clark, Darke, Greene, Miami, Montgomery, and Preble Counties; Director, Regional Air Pollution Control Agency, 117 South Main Street, Dayton, Ohio 45422-1280.</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(vi) Lucas County and the City of Rossford (in Wood County); Director, City of Toledo, Division of Environmental Services, 348 South Erie Street, Toledo, OH 43604.</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(vii) Adams, Brown, Lawrence, and Scioto Counties; Portsmouth Local Air Agency, 605 Washington Street, Third Floor, Portsmouth, OH 45662.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(ix) Ashtabula, Caroll, Colombiana, Holmes, Lorain, and Wayne Counties; Ohio Environmental Protection Agency, Northeast District Office, Air Pollution Unit, 2110 East Aurora Road, Twinsburg, OH 44087.</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(xi) Champaign, Clinton, Highland, Logan, and Shelby Counties; Ohio Environmental Protection Agency, Southwest District Office, Air Pollution Unit, 401 East Fifth Street, Dayton, Ohio 45402-2911.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(xii) Delaware, Fairfield, Fayette, Franklin, Knox, Licking, Madison, Morrow, Pickaway, and Union Counties; Ohio Environmental Protection Agency, Central District Office, Air Pollution control, 50 West Town Street, Suite 700, Columbus, Ohio 43215.</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(xiii) Geauga and Lake Counties; Lake County General Health District, Air Pollution Control, 33 Mill Street, Painesville, OH 44077.</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(xiv) Mahoning and Trumbull Counties; Mahoning-Trumbull Air Pollution Control Agency, 345 Oak Hill Avenue, Suite 200, Youngstown, OH 44502.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(LL) State of Oklahoma, Oklahoma State Department of Health, Air Quality Service, P.O. Box 53551, Oklahoma City, OK 73152.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Oklahoma City and County: Director, Oklahoma City-County Health Department, 921 Northeast 23rd Street, Oklahoma City, OK 73105.</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Tulsa County: Tulsa City-County Health Department, 4616 East Fifteenth Street, Tulsa, OK 74112.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(MM) State of Oregon. (i) Oregon Department of Environmental Quality (ODEQ), 811 SW Sixth Avenue, Portland, OR 97204-1390, </w:t>
      </w:r>
      <w:r w:rsidRPr="005E5A2A">
        <w:rPr>
          <w:rFonts w:ascii="Arial" w:eastAsia="Times New Roman" w:hAnsi="Arial" w:cs="Arial"/>
          <w:i/>
          <w:iCs/>
          <w:sz w:val="20"/>
          <w:szCs w:val="20"/>
        </w:rPr>
        <w:t>http://www.deq.state.or.us.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(ii) Lane Regional Air Pollution Authority (LRAPA), 1010 Main Street, Springfield, Oregon 97477, </w:t>
      </w:r>
      <w:r w:rsidRPr="005E5A2A">
        <w:rPr>
          <w:rFonts w:ascii="Arial" w:eastAsia="Times New Roman" w:hAnsi="Arial" w:cs="Arial"/>
          <w:i/>
          <w:iCs/>
          <w:sz w:val="20"/>
          <w:szCs w:val="20"/>
        </w:rPr>
        <w:t>http://www.lrapa.org.</w:t>
      </w:r>
    </w:p>
    <w:p w:rsidR="005E5A2A" w:rsidRDefault="005E5A2A">
      <w:pPr>
        <w:rPr>
          <w:rFonts w:ascii="Arial" w:eastAsia="Times New Roman" w:hAnsi="Arial" w:cs="Arial"/>
          <w:sz w:val="20"/>
          <w:szCs w:val="20"/>
        </w:rPr>
      </w:pPr>
      <w:r>
        <w:rPr>
          <w:rFonts w:ascii="Arial" w:eastAsia="Times New Roman" w:hAnsi="Arial" w:cs="Arial"/>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(NN)(i) City of Philadelphia, Department of Public Health, Air Management Services, 321 University Avenue, Philadelphia, Pennsylvania 19104.</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Commonwealth of Pennsylvania, Department of Environmental Protection, Bureau of Air Quality Control, P.O. Box 8468, 400 Market Street, Harrisburg, Pennsylvania 17105.</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(iii) Allegheny County Health Department, Bureau of Environmental Quality, Division of Air Quality, 301 39th Street, Pittsburgh, Pennsylvania 15201.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(OO) State of Rhode Island, Division of Air and Hazardous Materials, Department of Environmental Management, 291 Promenade Street, Providence, RI 02908.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(PP) State of South Carolina: South Carolina Department of Health and Environmental Control, 2600 Bull Street, Columbia, South Carolina 29201.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(QQ) State of South Dakota, Air Quality Program, Department of Environment and Natural Resources, Joe Foss Building, 523 East Capitol, Pierre, SD 57501-3181.</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a table listing Region VIII's NSPS delegation status, see paragragh (c)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(RR) State of Tennessee: Tennessee Department of Environment and Conservation, Division of Air Pollution Control, 401 Church Street, 9th Floor, L&amp;C Annex, Nashville, Tennessee 37243-1531.</w:t>
      </w:r>
    </w:p>
    <w:p w:rsidR="005E5A2A" w:rsidRPr="005E5A2A" w:rsidRDefault="005E5A2A" w:rsidP="005E5A2A">
      <w:pPr>
        <w:spacing w:before="200" w:after="100" w:line="240" w:lineRule="auto"/>
        <w:ind w:left="480" w:hanging="480"/>
        <w:rPr>
          <w:rFonts w:ascii="Arial" w:eastAsia="Times New Roman" w:hAnsi="Arial" w:cs="Arial"/>
          <w:sz w:val="20"/>
          <w:szCs w:val="20"/>
        </w:rPr>
      </w:pPr>
      <w:r w:rsidRPr="005E5A2A">
        <w:rPr>
          <w:rFonts w:ascii="Arial" w:eastAsia="Times New Roman" w:hAnsi="Arial" w:cs="Arial"/>
          <w:sz w:val="20"/>
          <w:szCs w:val="20"/>
        </w:rPr>
        <w:t>Knox County Air Quality Management—Department of Public Health, 140 Dameron Avenue, Knoxville, TN 37917.</w:t>
      </w:r>
    </w:p>
    <w:p w:rsidR="005E5A2A" w:rsidRPr="005E5A2A" w:rsidRDefault="005E5A2A" w:rsidP="005E5A2A">
      <w:pPr>
        <w:spacing w:before="200" w:after="100" w:line="240" w:lineRule="auto"/>
        <w:ind w:left="480" w:hanging="480"/>
        <w:rPr>
          <w:rFonts w:ascii="Arial" w:eastAsia="Times New Roman" w:hAnsi="Arial" w:cs="Arial"/>
          <w:sz w:val="20"/>
          <w:szCs w:val="20"/>
        </w:rPr>
      </w:pPr>
      <w:r w:rsidRPr="005E5A2A">
        <w:rPr>
          <w:rFonts w:ascii="Arial" w:eastAsia="Times New Roman" w:hAnsi="Arial" w:cs="Arial"/>
          <w:sz w:val="20"/>
          <w:szCs w:val="20"/>
        </w:rPr>
        <w:t>Air Pollution Control Bureau, Metropolitan Health Department, 311 23rd Avenue North, Nashville, TN 37203.</w:t>
      </w:r>
    </w:p>
    <w:p w:rsidR="005E5A2A" w:rsidRPr="005E5A2A" w:rsidRDefault="005E5A2A" w:rsidP="005E5A2A">
      <w:pPr>
        <w:spacing w:before="200" w:after="100" w:line="240" w:lineRule="auto"/>
        <w:ind w:left="480" w:hanging="480"/>
        <w:rPr>
          <w:rFonts w:ascii="Arial" w:eastAsia="Times New Roman" w:hAnsi="Arial" w:cs="Arial"/>
          <w:sz w:val="20"/>
          <w:szCs w:val="20"/>
        </w:rPr>
      </w:pPr>
      <w:r w:rsidRPr="005E5A2A">
        <w:rPr>
          <w:rFonts w:ascii="Arial" w:eastAsia="Times New Roman" w:hAnsi="Arial" w:cs="Arial"/>
          <w:sz w:val="20"/>
          <w:szCs w:val="20"/>
        </w:rPr>
        <w:t>Chattanooga-Hamilton County Air Pollution Control Bureau, 6125 Preservation Drive, Chattanooga, TN 37416.</w:t>
      </w:r>
    </w:p>
    <w:p w:rsidR="005E5A2A" w:rsidRPr="005E5A2A" w:rsidRDefault="005E5A2A" w:rsidP="005E5A2A">
      <w:pPr>
        <w:spacing w:before="200" w:after="100" w:line="240" w:lineRule="auto"/>
        <w:ind w:left="480" w:hanging="480"/>
        <w:rPr>
          <w:rFonts w:ascii="Arial" w:eastAsia="Times New Roman" w:hAnsi="Arial" w:cs="Arial"/>
          <w:sz w:val="20"/>
          <w:szCs w:val="20"/>
        </w:rPr>
      </w:pPr>
      <w:r w:rsidRPr="005E5A2A">
        <w:rPr>
          <w:rFonts w:ascii="Arial" w:eastAsia="Times New Roman" w:hAnsi="Arial" w:cs="Arial"/>
          <w:sz w:val="20"/>
          <w:szCs w:val="20"/>
        </w:rPr>
        <w:t>Memphis-Shelby County Health Department—Air Pollution Control Program, 814 Jefferson Avenue, Memphis, TN 38105.</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(SS) State of Texas, Texas Air Control Board, 6330 Highway 290 East, Austin, TX 78723.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(TT) State of Utah, Division of Air Quality, Department of Environmental Quality, P.O. Box 144820, Salt Lake City, UT 84114-4820.</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a table listing Region VIII's NSPS delegation status, see paragraph (c)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(UU) State of Vermont, Air Pollution Control Division, Agency of Natural Resources, Building 3 South, 103 South Main Street, Waterbury, VT 05676.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(VV) Commonwealth of Virginia, Department of Environmental Quality, 629 East Main Street, Richmond, Virginia 23219.</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(WW) </w:t>
      </w:r>
      <w:r w:rsidRPr="005E5A2A">
        <w:rPr>
          <w:rFonts w:ascii="Arial" w:eastAsia="Times New Roman" w:hAnsi="Arial" w:cs="Arial"/>
          <w:i/>
          <w:iCs/>
          <w:sz w:val="20"/>
          <w:szCs w:val="20"/>
        </w:rPr>
        <w:t>State of Washington.</w:t>
      </w:r>
      <w:r w:rsidRPr="005E5A2A">
        <w:rPr>
          <w:rFonts w:ascii="Arial" w:eastAsia="Times New Roman" w:hAnsi="Arial" w:cs="Arial"/>
          <w:sz w:val="20"/>
          <w:szCs w:val="20"/>
        </w:rPr>
        <w:t xml:space="preserve"> (i) Washington State Department of Ecology (Ecology), P.O. Box 47600, Olympia, WA 98504-7600, </w:t>
      </w:r>
      <w:r w:rsidRPr="005E5A2A">
        <w:rPr>
          <w:rFonts w:ascii="Arial" w:eastAsia="Times New Roman" w:hAnsi="Arial" w:cs="Arial"/>
          <w:i/>
          <w:iCs/>
          <w:sz w:val="20"/>
          <w:szCs w:val="20"/>
        </w:rPr>
        <w:t>http://www.ecy.wa.gov/</w:t>
      </w:r>
    </w:p>
    <w:p w:rsidR="005E5A2A" w:rsidRDefault="005E5A2A">
      <w:pPr>
        <w:rPr>
          <w:rFonts w:ascii="Arial" w:eastAsia="Times New Roman" w:hAnsi="Arial" w:cs="Arial"/>
          <w:sz w:val="20"/>
          <w:szCs w:val="20"/>
        </w:rPr>
      </w:pPr>
      <w:r>
        <w:rPr>
          <w:rFonts w:ascii="Arial" w:eastAsia="Times New Roman" w:hAnsi="Arial" w:cs="Arial"/>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 xml:space="preserve">(ii) Benton Clean Air Authority (BCAA), 650 George Washington Way, Richland, WA 99352-4289, </w:t>
      </w:r>
      <w:r w:rsidRPr="005E5A2A">
        <w:rPr>
          <w:rFonts w:ascii="Arial" w:eastAsia="Times New Roman" w:hAnsi="Arial" w:cs="Arial"/>
          <w:i/>
          <w:iCs/>
          <w:sz w:val="20"/>
          <w:szCs w:val="20"/>
        </w:rPr>
        <w:t>http://www.bcaa.net/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(iii) Northwest Air Pollution Control Authority (NWAPA), 1600 South Second St., Mount Vernon, WA 98273-5202, </w:t>
      </w:r>
      <w:r w:rsidRPr="005E5A2A">
        <w:rPr>
          <w:rFonts w:ascii="Arial" w:eastAsia="Times New Roman" w:hAnsi="Arial" w:cs="Arial"/>
          <w:i/>
          <w:iCs/>
          <w:sz w:val="20"/>
          <w:szCs w:val="20"/>
        </w:rPr>
        <w:t>http://www.nwair.org/</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(iv) Olympic Regional Clean Air Agency (ORCAA), 909 Sleater-Kinney Road S.E., Suite 1, Lacey, WA 98503-1128, </w:t>
      </w:r>
      <w:r w:rsidRPr="005E5A2A">
        <w:rPr>
          <w:rFonts w:ascii="Arial" w:eastAsia="Times New Roman" w:hAnsi="Arial" w:cs="Arial"/>
          <w:i/>
          <w:iCs/>
          <w:sz w:val="20"/>
          <w:szCs w:val="20"/>
        </w:rPr>
        <w:t>http://www.orcaa.org/</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(v) Puget Sound Clean Air Agency (PSCAA), 110 Union Street, Suite 500, Seattle, WA 98101-2038, </w:t>
      </w:r>
      <w:r w:rsidRPr="005E5A2A">
        <w:rPr>
          <w:rFonts w:ascii="Arial" w:eastAsia="Times New Roman" w:hAnsi="Arial" w:cs="Arial"/>
          <w:i/>
          <w:iCs/>
          <w:sz w:val="20"/>
          <w:szCs w:val="20"/>
        </w:rPr>
        <w:t>http://www.pscleanair.org/</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(vi) Spokane County Air Pollution Control Authority (SCAPCA), West 1101 College, Suite 403, Spokane, WA 99201, </w:t>
      </w:r>
      <w:r w:rsidRPr="005E5A2A">
        <w:rPr>
          <w:rFonts w:ascii="Arial" w:eastAsia="Times New Roman" w:hAnsi="Arial" w:cs="Arial"/>
          <w:i/>
          <w:iCs/>
          <w:sz w:val="20"/>
          <w:szCs w:val="20"/>
        </w:rPr>
        <w:t>http://www.scapca.org/</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(vii) Southwest Clean Air Agency (SWCAA), 1308 NE. 134th St., Vancouver, WA 98685-2747, </w:t>
      </w:r>
      <w:r w:rsidRPr="005E5A2A">
        <w:rPr>
          <w:rFonts w:ascii="Arial" w:eastAsia="Times New Roman" w:hAnsi="Arial" w:cs="Arial"/>
          <w:i/>
          <w:iCs/>
          <w:sz w:val="20"/>
          <w:szCs w:val="20"/>
        </w:rPr>
        <w:t>http://www.swcleanair.org/</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(viii) Yakima Regional Clean Air Authority (YRCAA), 6 South 2nd Street, Suite 1016, Yakima, WA 98901, </w:t>
      </w:r>
      <w:r w:rsidRPr="005E5A2A">
        <w:rPr>
          <w:rFonts w:ascii="Arial" w:eastAsia="Times New Roman" w:hAnsi="Arial" w:cs="Arial"/>
          <w:i/>
          <w:iCs/>
          <w:sz w:val="20"/>
          <w:szCs w:val="20"/>
        </w:rPr>
        <w:t>http://co.yakima.wa.us/cleanair/default.htm</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666"/>
        <w:gridCol w:w="881"/>
        <w:gridCol w:w="681"/>
        <w:gridCol w:w="858"/>
        <w:gridCol w:w="836"/>
        <w:gridCol w:w="803"/>
        <w:gridCol w:w="947"/>
        <w:gridCol w:w="858"/>
        <w:gridCol w:w="814"/>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Subpart</w:t>
            </w:r>
            <w:r w:rsidRPr="005E5A2A">
              <w:rPr>
                <w:rFonts w:ascii="Arial" w:eastAsia="Times New Roman" w:hAnsi="Arial" w:cs="Arial"/>
                <w:b/>
                <w:bCs/>
                <w:sz w:val="20"/>
                <w:szCs w:val="20"/>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Washington </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Ecology</w:t>
            </w:r>
            <w:r w:rsidRPr="005E5A2A">
              <w:rPr>
                <w:rFonts w:ascii="Arial" w:eastAsia="Times New Roman" w:hAnsi="Arial" w:cs="Arial"/>
                <w:b/>
                <w:bCs/>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BCAA</w:t>
            </w:r>
            <w:r w:rsidRPr="005E5A2A">
              <w:rPr>
                <w:rFonts w:ascii="Arial" w:eastAsia="Times New Roman" w:hAnsi="Arial" w:cs="Arial"/>
                <w:b/>
                <w:bCs/>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NWAPA</w:t>
            </w:r>
            <w:r w:rsidRPr="005E5A2A">
              <w:rPr>
                <w:rFonts w:ascii="Arial" w:eastAsia="Times New Roman" w:hAnsi="Arial" w:cs="Arial"/>
                <w:b/>
                <w:bCs/>
                <w:sz w:val="20"/>
                <w:szCs w:val="20"/>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ORCAA</w:t>
            </w:r>
            <w:r w:rsidRPr="005E5A2A">
              <w:rPr>
                <w:rFonts w:ascii="Arial" w:eastAsia="Times New Roman" w:hAnsi="Arial" w:cs="Arial"/>
                <w:b/>
                <w:bCs/>
                <w:sz w:val="20"/>
                <w:szCs w:val="20"/>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PSCAA</w:t>
            </w:r>
            <w:r w:rsidRPr="005E5A2A">
              <w:rPr>
                <w:rFonts w:ascii="Arial" w:eastAsia="Times New Roman" w:hAnsi="Arial" w:cs="Arial"/>
                <w:b/>
                <w:bCs/>
                <w:sz w:val="20"/>
                <w:szCs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SCAPCA</w:t>
            </w:r>
            <w:r w:rsidRPr="005E5A2A">
              <w:rPr>
                <w:rFonts w:ascii="Arial" w:eastAsia="Times New Roman" w:hAnsi="Arial" w:cs="Arial"/>
                <w:b/>
                <w:bCs/>
                <w:sz w:val="20"/>
                <w:szCs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SWCAA</w:t>
            </w:r>
            <w:r w:rsidRPr="005E5A2A">
              <w:rPr>
                <w:rFonts w:ascii="Arial" w:eastAsia="Times New Roman" w:hAnsi="Arial" w:cs="Arial"/>
                <w:b/>
                <w:bCs/>
                <w:sz w:val="20"/>
                <w:szCs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YRCAA</w:t>
            </w:r>
            <w:r w:rsidRPr="005E5A2A">
              <w:rPr>
                <w:rFonts w:ascii="Arial" w:eastAsia="Times New Roman" w:hAnsi="Arial" w:cs="Arial"/>
                <w:b/>
                <w:bCs/>
                <w:sz w:val="20"/>
                <w:szCs w:val="20"/>
                <w:vertAlign w:val="superscript"/>
              </w:rPr>
              <w:t>9</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Cb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70"/>
        <w:gridCol w:w="630"/>
        <w:gridCol w:w="719"/>
        <w:gridCol w:w="901"/>
        <w:gridCol w:w="809"/>
        <w:gridCol w:w="811"/>
        <w:gridCol w:w="901"/>
        <w:gridCol w:w="901"/>
        <w:gridCol w:w="802"/>
      </w:tblGrid>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Cc   Municipal Solid Waste Landfills (Emission Guidelines and Compliance Times)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Cd   Sulfuric Acid Production Units (Emission Guidelines and Compliance Times)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Ce   Hospital/Medical/Infectious Waste Incinerators (Emission Guidelines and Compliance Times)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   Fossil-Fuel-Fired Steam Generators for which Construction is Commenced after August 17, 1971</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   Electric Utility Steam Generating Units for which Construction is Commenced after September 18, 1978</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   Industrial-Commercial-Institutional Steam Generating Units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   Small Industrial-Commercial-Institutional Steam Generating Units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   Incinerators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   Municipal Waste Combustors for which Construction is Commenced after December 20, 1989 and on or before September 20, 1994</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Eb—Large Municipal Waste Combustors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Ec—Hospital/Medical/Infectious Waste Incinerators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   Portland Cement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   Nitric Acid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   Sulfuric Acid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   Hot Mix Asphalt Facilities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   Petroleum Refineries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70"/>
        <w:gridCol w:w="630"/>
        <w:gridCol w:w="719"/>
        <w:gridCol w:w="901"/>
        <w:gridCol w:w="809"/>
        <w:gridCol w:w="811"/>
        <w:gridCol w:w="901"/>
        <w:gridCol w:w="901"/>
        <w:gridCol w:w="802"/>
      </w:tblGrid>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K   Storage Vessels for Petroleum Liquids for which Construction, Reconstruction, or Modification Commenced after June 11, 1973 and prior to May 19, 1978</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   Storage Vessels for Petroleum Liquids for which Construction, Reconstruction, or Modification Commenced after May 18, 1978 and prior to July 23, 1984</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   VOC Liquid Storage Vessels (including Petroleum Liquid Storage Vessels) for which Construction, Reconstruction, or Modification Commenced after July 23, 1984</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   Secondary Lead Smelters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   Secondary Brass and Bronze Production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   Primary Emissions from Basic Oxygen Process Furnaces for which Construction is Commenced after June 11, 1973</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   Secondary Emissions from Basic Oxygen Process Steel-making Facilities for which Construction is Commenced after January 20, 1983</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   Sewage Treatment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   Primary Copper Smelters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   Primary Zinc Smelters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   Primary Lead Smelters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   Primary Aluminum Reduction Plants</w:t>
            </w:r>
            <w:r w:rsidRPr="005E5A2A">
              <w:rPr>
                <w:rFonts w:ascii="Arial" w:eastAsia="Times New Roman" w:hAnsi="Arial" w:cs="Arial"/>
                <w:sz w:val="20"/>
                <w:szCs w:val="20"/>
                <w:vertAlign w:val="superscript"/>
              </w:rPr>
              <w:t>10</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   Phosphate Fertilizer Industry: Wet Process Phosphoric Acid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   Phosphate Fertilizer Industry: Superphosphoric Acid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70"/>
        <w:gridCol w:w="630"/>
        <w:gridCol w:w="719"/>
        <w:gridCol w:w="901"/>
        <w:gridCol w:w="809"/>
        <w:gridCol w:w="811"/>
        <w:gridCol w:w="901"/>
        <w:gridCol w:w="901"/>
        <w:gridCol w:w="802"/>
      </w:tblGrid>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V   Phosphate Fertilizer Industry: Diammonium Phosphate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   Phosphate Fertilizer Industry: Triple Superphosphate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   Phosphate Fertilizer Industry: Granular Triple Superphosphate Storage Facilities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   Coal Preparation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   Ferroalloy Production Facilities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   Steel Plants: Electric Arc Furnaces Constructed after October 21, 1974 and on or before August 17, 1983</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   Steel Plants: Electric Arc Furnaces and Argon-Oxygen Decarburization Vessels Constructed after August 7, 1983</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   Kraft Pulp Mills</w:t>
            </w:r>
            <w:r w:rsidRPr="005E5A2A">
              <w:rPr>
                <w:rFonts w:ascii="Arial" w:eastAsia="Times New Roman" w:hAnsi="Arial" w:cs="Arial"/>
                <w:sz w:val="20"/>
                <w:szCs w:val="20"/>
                <w:vertAlign w:val="superscript"/>
              </w:rPr>
              <w:t>11</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   Glass Manufacturing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   Grain Elevators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   Surface Coating of Metal Furniture</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   Stationary Gas Turbines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   Lime Manufacturing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   Lead-Acid Battery Manufacturing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   Metallic Mineral Processing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   Automobile and Light Duty Truck Surface Coating Operations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   Phosphate Rock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   Ammonium Sulfate Manufacture</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70"/>
        <w:gridCol w:w="630"/>
        <w:gridCol w:w="719"/>
        <w:gridCol w:w="901"/>
        <w:gridCol w:w="809"/>
        <w:gridCol w:w="811"/>
        <w:gridCol w:w="901"/>
        <w:gridCol w:w="901"/>
        <w:gridCol w:w="802"/>
      </w:tblGrid>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QQ   Graphic Arts Industry: Publication Rotogravure Printing</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   Pressure Sensitive Tape and Label Surface Coating Standards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   Industrial Surface Coating: Large Appliances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   Metal Coil Surface Coating</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   Asphalt Processing and Asphalt Roof Manufacture</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   Equipment Leaks of VOC in Synthetic Organic Chemical Manufacturing Industry</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   Beverage Can Surface Coating Industry</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   Bulk Gasoline Terminals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AAA   New Residential Wood Heaters </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   Rubber Tire Manufacturing Industry</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   VOC Emissions from Polymer Manufacturing Industry</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   Flexible Vinyl and Urethane Coating and Printing</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   Equipment Leaks of VOC in Petroleum Refineries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   Synthetic Fiber Production Facilities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   VOC Emissions from Synthetic Organic Chemical Manufacturing Industry Air Oxidation Unit Processes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   Petroleum Dry Cleaners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   Equipment Leaks of VOC from Onshore Natural Gas Processing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   Onshore Natural Gas Processing: SO</w:t>
            </w:r>
            <w:r w:rsidRPr="005E5A2A">
              <w:rPr>
                <w:rFonts w:ascii="Arial" w:eastAsia="Times New Roman" w:hAnsi="Arial" w:cs="Arial"/>
                <w:sz w:val="20"/>
                <w:szCs w:val="20"/>
                <w:vertAlign w:val="subscript"/>
              </w:rPr>
              <w:t>2</w:t>
            </w:r>
            <w:r w:rsidRPr="005E5A2A">
              <w:rPr>
                <w:rFonts w:ascii="Arial" w:eastAsia="Times New Roman" w:hAnsi="Arial" w:cs="Arial"/>
                <w:sz w:val="20"/>
                <w:szCs w:val="20"/>
              </w:rPr>
              <w:t xml:space="preserve"> Emissions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70"/>
        <w:gridCol w:w="630"/>
        <w:gridCol w:w="719"/>
        <w:gridCol w:w="901"/>
        <w:gridCol w:w="809"/>
        <w:gridCol w:w="811"/>
        <w:gridCol w:w="901"/>
        <w:gridCol w:w="901"/>
        <w:gridCol w:w="802"/>
      </w:tblGrid>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NNN   VOC Emissions from Synthetic Organic Chemical Manufacturing Industry Distillation Operations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   Nonmetallic Mineral Processing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   Wool Fiberglass Insulation Manufacturing Plants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   VOC Emissions from Petroleum Refinery Wastewater Systems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   VOCs from Synthetic Organic Chemical Manufacturing Industry Reactor Processes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   Magnetic Tape Coating Facilities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   Industrial Surface Coating: Surface Coating of Plastic Parts for Business Machines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   Calciners and Dryers in Mineral Industries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   Polymeric Coating of Supporting Substrates Facilities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   Municipal Solid Waste Landfills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AAAA   Small Municipal Waste Combustion Units for which Construction is Commenced after August 30, 1999 or for which Modification or Reconstruction is Commenced after June 6, 2001</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BBBB   Small Municipal Waste Combustion Units Constructed on or before August 30, 1999 (Emission Guidelines and Compliance Times)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70"/>
        <w:gridCol w:w="630"/>
        <w:gridCol w:w="719"/>
        <w:gridCol w:w="901"/>
        <w:gridCol w:w="809"/>
        <w:gridCol w:w="811"/>
        <w:gridCol w:w="901"/>
        <w:gridCol w:w="901"/>
        <w:gridCol w:w="802"/>
      </w:tblGrid>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CCCC   Commercial and Industrial Solid Waste Incineration Units for which Construction is Commenced after November, 30, 1999 or for which Modification or Reconstruction is Commenced on or after June 1, 2001</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153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DDDD   Commercial and Industrial Solid Waste Incineration Units that Commenced Construction on or before November 30, 1999 (Emission Guidelines and Compliance Times)</w:t>
            </w:r>
          </w:p>
        </w:tc>
        <w:tc>
          <w:tcPr>
            <w:tcW w:w="3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3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1</w:t>
      </w:r>
      <w:r w:rsidRPr="005E5A2A">
        <w:rPr>
          <w:rFonts w:ascii="Arial" w:eastAsia="Times New Roman" w:hAnsi="Arial" w:cs="Arial"/>
          <w:sz w:val="20"/>
          <w:szCs w:val="20"/>
        </w:rPr>
        <w:t xml:space="preserve">Any authority within any subpart of this part that is not delegable, is not delegated. Please refer to Attachment B to the delegation letters for a listing of the NSPS authorities excluded from delegation.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2</w:t>
      </w:r>
      <w:r w:rsidRPr="005E5A2A">
        <w:rPr>
          <w:rFonts w:ascii="Arial" w:eastAsia="Times New Roman" w:hAnsi="Arial" w:cs="Arial"/>
          <w:sz w:val="20"/>
          <w:szCs w:val="20"/>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3</w:t>
      </w:r>
      <w:r w:rsidRPr="005E5A2A">
        <w:rPr>
          <w:rFonts w:ascii="Arial" w:eastAsia="Times New Roman" w:hAnsi="Arial" w:cs="Arial"/>
          <w:sz w:val="20"/>
          <w:szCs w:val="20"/>
        </w:rPr>
        <w:t xml:space="preserve">Benton Clean Air Authority, for 40 CFR 60.17(h)(1), (h)(2), (h)(3) and 40 CFR part 60, subpart AAAA, as in effect on June 6, 2001; for 40 CFR part 60, subpart CCCC, as in effect on June 1, 2001; and for all other NSPS delegated, as in effect February 20, 2001.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4</w:t>
      </w:r>
      <w:r w:rsidRPr="005E5A2A">
        <w:rPr>
          <w:rFonts w:ascii="Arial" w:eastAsia="Times New Roman" w:hAnsi="Arial" w:cs="Arial"/>
          <w:sz w:val="20"/>
          <w:szCs w:val="20"/>
        </w:rPr>
        <w:t xml:space="preserve">Northwest Air Pollution Authority, for all NSPS delegated, as in effect on July 1, 2000.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5</w:t>
      </w:r>
      <w:r w:rsidRPr="005E5A2A">
        <w:rPr>
          <w:rFonts w:ascii="Arial" w:eastAsia="Times New Roman" w:hAnsi="Arial" w:cs="Arial"/>
          <w:sz w:val="20"/>
          <w:szCs w:val="20"/>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6</w:t>
      </w:r>
      <w:r w:rsidRPr="005E5A2A">
        <w:rPr>
          <w:rFonts w:ascii="Arial" w:eastAsia="Times New Roman" w:hAnsi="Arial" w:cs="Arial"/>
          <w:sz w:val="20"/>
          <w:szCs w:val="20"/>
        </w:rPr>
        <w:t xml:space="preserve">Puget Sound Clean Air Authority, for all NSPS delegated, as in effect on July 1, 2002.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7</w:t>
      </w:r>
      <w:r w:rsidRPr="005E5A2A">
        <w:rPr>
          <w:rFonts w:ascii="Arial" w:eastAsia="Times New Roman" w:hAnsi="Arial" w:cs="Arial"/>
          <w:sz w:val="20"/>
          <w:szCs w:val="20"/>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8</w:t>
      </w:r>
      <w:r w:rsidRPr="005E5A2A">
        <w:rPr>
          <w:rFonts w:ascii="Arial" w:eastAsia="Times New Roman" w:hAnsi="Arial" w:cs="Arial"/>
          <w:sz w:val="20"/>
          <w:szCs w:val="20"/>
        </w:rPr>
        <w:t xml:space="preserve">Southwest Clean Air Agency, for all NSPS delegated, as in effect on July 1, 2000.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9</w:t>
      </w:r>
      <w:r w:rsidRPr="005E5A2A">
        <w:rPr>
          <w:rFonts w:ascii="Arial" w:eastAsia="Times New Roman" w:hAnsi="Arial" w:cs="Arial"/>
          <w:sz w:val="20"/>
          <w:szCs w:val="20"/>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10</w:t>
      </w:r>
      <w:r w:rsidRPr="005E5A2A">
        <w:rPr>
          <w:rFonts w:ascii="Arial" w:eastAsia="Times New Roman" w:hAnsi="Arial" w:cs="Arial"/>
          <w:sz w:val="20"/>
          <w:szCs w:val="20"/>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5E5A2A" w:rsidRDefault="005E5A2A">
      <w:pPr>
        <w:rPr>
          <w:rFonts w:ascii="Arial" w:eastAsia="Times New Roman" w:hAnsi="Arial" w:cs="Arial"/>
          <w:sz w:val="20"/>
          <w:szCs w:val="20"/>
          <w:vertAlign w:val="superscript"/>
        </w:rPr>
      </w:pPr>
      <w:r>
        <w:rPr>
          <w:rFonts w:ascii="Arial" w:eastAsia="Times New Roman" w:hAnsi="Arial" w:cs="Arial"/>
          <w:sz w:val="20"/>
          <w:szCs w:val="20"/>
          <w:vertAlign w:val="superscript"/>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lastRenderedPageBreak/>
        <w:t>11</w:t>
      </w:r>
      <w:r w:rsidRPr="005E5A2A">
        <w:rPr>
          <w:rFonts w:ascii="Arial" w:eastAsia="Times New Roman" w:hAnsi="Arial" w:cs="Arial"/>
          <w:sz w:val="20"/>
          <w:szCs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(XX) State of West Virginia, Department of Environmental Protection, Division of Air Quality, 601 57th Street, SE., Charleston, West Virginia 25304.</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(YY) State of Wisconsin: Wisconsin Department of Natural Resouces, 101 South Webster St., P.O. Box 7921, Madison, Wisconsin 53707-7921.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(ZZ) State of Wyoming, Department of Environmental Quality, Air Quality Division, Herschler Building, 122 West 25th Street, Cheyenne, WY 82002.</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a table listing Region VIII's NSPS delegation status, see paragraph (c)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(AAA) Territory of Guam: Guam Environmental Protection Agency, P.O. Box 22439 GMF, Barrigada, Guam 96921.</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tables listing the delegation status of agencies in Region IX, see paragraph (d)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(BBB) Commonwealth of Puerto Rico: Commonwealth of Puerto Rico Environmental Quality Board, P.O. Box 11488, Santurce, PR 00910, Attention: Air Quality Area Director (see table under §60.4(b)(FF)(1)).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(CCC) U.S. Virgin Islands: U.S. Virgin Islands Department of Conservation and Cultural Affairs, P.O. Box 578, Charlotte Amalie, St. Thomas, VI 00801.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(DDD) American Samoa: American Samoa Environmental Protection Agency, P.O. Box PPA, Pago Pago, American Samoa 96799.</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tables listing the delegation status of agencies in Region IX, see paragraph (d)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(EEE) Commonwealth of the Northern Mariana Islands: CNMI Division of Environmental Quality, P.O. Box 501304, Saipan, MP 96950.</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Note:</w:t>
      </w:r>
      <w:r w:rsidRPr="005E5A2A">
        <w:rPr>
          <w:rFonts w:ascii="Arial" w:eastAsia="Times New Roman" w:hAnsi="Arial" w:cs="Arial"/>
          <w:sz w:val="18"/>
          <w:szCs w:val="18"/>
        </w:rPr>
        <w:t xml:space="preserve"> For tables listing the delegation status of agencies in Region IX, see paragraph (d)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(c) The following is a table indicating the delegation status of New Source Performance Standards for Region VIII.</w:t>
      </w:r>
    </w:p>
    <w:p w:rsidR="005E5A2A" w:rsidRDefault="005E5A2A">
      <w:pPr>
        <w:rPr>
          <w:rFonts w:ascii="Arial" w:eastAsia="Times New Roman" w:hAnsi="Arial" w:cs="Arial"/>
          <w:b/>
          <w:bCs/>
          <w:smallCaps/>
          <w:sz w:val="20"/>
          <w:szCs w:val="20"/>
        </w:rPr>
      </w:pPr>
      <w:r>
        <w:rPr>
          <w:rFonts w:ascii="Arial" w:eastAsia="Times New Roman" w:hAnsi="Arial" w:cs="Arial"/>
          <w:b/>
          <w:bCs/>
          <w:smallCaps/>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lastRenderedPageBreak/>
        <w:t xml:space="preserve">Delegation Status of New Source Performance Standards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[(NSPS) for Region VIII]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358"/>
        <w:gridCol w:w="340"/>
        <w:gridCol w:w="329"/>
        <w:gridCol w:w="329"/>
        <w:gridCol w:w="318"/>
        <w:gridCol w:w="306"/>
        <w:gridCol w:w="364"/>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MT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ND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UT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WY</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D—Fossil Fuel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Da—Electric Utility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Db—Industrial-Commercial—Institutional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Dc—Industrial-Commercial-Institutional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K—Petroleum Storage Vessels (after 6/11/73 &amp; prior to</w:t>
            </w:r>
            <w:r w:rsidRPr="005E5A2A">
              <w:rPr>
                <w:rFonts w:ascii="Arial" w:eastAsia="Times New Roman" w:hAnsi="Arial" w:cs="Arial"/>
                <w:sz w:val="20"/>
                <w:szCs w:val="20"/>
              </w:rPr>
              <w:br/>
              <w:t>   5/19/78)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Ka—Petroleum Storage Vessels (after 5/18/78 &amp; prior to</w:t>
            </w:r>
            <w:r w:rsidRPr="005E5A2A">
              <w:rPr>
                <w:rFonts w:ascii="Arial" w:eastAsia="Times New Roman" w:hAnsi="Arial" w:cs="Arial"/>
                <w:sz w:val="20"/>
                <w:szCs w:val="20"/>
              </w:rPr>
              <w:br/>
              <w:t>   7/23/84)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Kb—Petroleum Storage 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M—Secondary Brass and Bronze Production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N—Primary Emissions from Basic Oxygen Process Furnaces (after 6/11/73)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Na—Secondary Emissions from Basic Oxygen Process Furnaces (after 1/20/83)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370"/>
        <w:gridCol w:w="361"/>
        <w:gridCol w:w="271"/>
        <w:gridCol w:w="361"/>
        <w:gridCol w:w="269"/>
        <w:gridCol w:w="269"/>
        <w:gridCol w:w="443"/>
      </w:tblGrid>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U—Phosphate Fertilizer Industry: Superphosphoric Acid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V—Phosphate Fertilizer Industry: Diammonium Phosphate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W—Phosphate Fertilizer Industry: Triple Superphosphate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X—Phosphate Fertilizer Industry: Granular Triple Superphosphate Storage Facilities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Y—Coal Preparation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Z—Ferroalloy Production Facilities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AA—Steel Plants: Electric Arc Furnaces (10/21/74-8/17/83)</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AAa—Steel Plants: Electric Arc Furnaces and Argon-Oxygen Decarburization Vessels (after 8/7/83)</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BB—Kraft Pulp Mills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CC—Glass Manufacturing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DD—Grain Elevator</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EE—Surface Coating of Metal Furniture</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GG—Stationary Gas Turbines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HH—Lime Manufacturing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KK—Lead-Acid Battery Manufacturing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LL—Metallic Mineral Processing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MM—Automobile &amp; Light Duty Truck Surface Coating Operations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NN—Phosphate Rock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PP—Ammonium Sulfate Manufacturing</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QQ—Graphic Arts Industry: Publication Rotogravure Printing</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RR—Pressure Sensitive Tape &amp; Label Surface Coating</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SS—Industrial Surface Coating: Large Applications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TT—Metal Coil Surface Coating</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UU—Asphalt Processing &amp; Asphalt Roofing Manufacture</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VV—Synthetic Organic Chemicals Manufacturing: Equipment Leaks of VOC</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WW—Beverage Can Surface Coating Industry</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XX—Bulk Gasoline Terminals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AAA—Residential Wood Heaters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BBB—Rubber Tires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DDD—VOC Emissions from Polymer Manufacturing Industry</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FFF—Flexible Vinyl &amp; Urethane Coating &amp; Printing</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370"/>
        <w:gridCol w:w="361"/>
        <w:gridCol w:w="271"/>
        <w:gridCol w:w="361"/>
        <w:gridCol w:w="269"/>
        <w:gridCol w:w="269"/>
        <w:gridCol w:w="443"/>
      </w:tblGrid>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GGG—Equipment Leaks of VOC in Petroleum Refineries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HHH—Synthetic Fiber Production</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III—VOC Emissions from the Synthetic Organic Chemical Manufacturing Industry Air Oxidation Unit Processes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JJJ—Petroleum Dry Cleaners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KKK—Equipment Leaks of VOC from Onshore Natural Gas Processing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LLL—Onshore Natural Gas Processing: SO</w:t>
            </w:r>
            <w:r w:rsidRPr="005E5A2A">
              <w:rPr>
                <w:rFonts w:ascii="Arial" w:eastAsia="Times New Roman" w:hAnsi="Arial" w:cs="Arial"/>
                <w:sz w:val="20"/>
                <w:szCs w:val="20"/>
                <w:vertAlign w:val="subscript"/>
              </w:rPr>
              <w:t>2</w:t>
            </w:r>
            <w:r w:rsidRPr="005E5A2A">
              <w:rPr>
                <w:rFonts w:ascii="Arial" w:eastAsia="Times New Roman" w:hAnsi="Arial" w:cs="Arial"/>
                <w:sz w:val="20"/>
                <w:szCs w:val="20"/>
              </w:rPr>
              <w:t xml:space="preserve"> Emissions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NNN—VOC Emissions from the Synthetic Organic Chemical Manufacturing Industry Distillation Operations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OOO—Nonmetallic Mineral Processing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PPP—Wool Fiberglass Insulation Manufacturing Plants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QQQ—VOC Emissions from Petroleum Refinery Wastewater Systems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RRR—VOC Emissions from Synthetic Organic Chemistry Manufacturing Industry (SOCMI) Reactor Processes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SSS—Magnetic Tape Industry</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TTT—Plastic Parts for Business Machine Coatings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UUU—Calciners and Dryers in Mineral Industries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VVV—Polymeric Coating of Supporting Substrates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WWW—Municipal Solid Waste Landfills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AAAA-Small Municipal Waste Combustors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CCCC-Commercial and Industrial Solid Waste Incineration Units</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r w:rsidR="005E5A2A" w:rsidRPr="005E5A2A" w:rsidTr="005E5A2A">
        <w:trPr>
          <w:jc w:val="center"/>
        </w:trPr>
        <w:tc>
          <w:tcPr>
            <w:tcW w:w="39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EEEE—Other Solid Waste Incineration Units for Which Construction is Commenced After December 9, 2004, or for Which Modification or Reconstruction is Commenced On or After June 16, 2006</w:t>
            </w: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14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19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23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Indicates approval of State regulation.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w:t>
      </w:r>
      <w:r w:rsidRPr="005E5A2A">
        <w:rPr>
          <w:rFonts w:ascii="Arial" w:eastAsia="Times New Roman" w:hAnsi="Arial" w:cs="Arial"/>
          <w:i/>
          <w:iCs/>
          <w:sz w:val="20"/>
          <w:szCs w:val="20"/>
        </w:rPr>
        <w:t>Arizona.</w:t>
      </w:r>
      <w:r w:rsidRPr="005E5A2A">
        <w:rPr>
          <w:rFonts w:ascii="Arial" w:eastAsia="Times New Roman" w:hAnsi="Arial" w:cs="Arial"/>
          <w:sz w:val="20"/>
          <w:szCs w:val="20"/>
        </w:rPr>
        <w:t xml:space="preserve"> The following table identifies delegations for Arizona:</w:t>
      </w:r>
    </w:p>
    <w:p w:rsidR="005E5A2A" w:rsidRDefault="005E5A2A">
      <w:pPr>
        <w:rPr>
          <w:rFonts w:ascii="Arial" w:eastAsia="Times New Roman" w:hAnsi="Arial" w:cs="Arial"/>
          <w:b/>
          <w:bCs/>
          <w:smallCaps/>
          <w:sz w:val="20"/>
          <w:szCs w:val="20"/>
        </w:rPr>
      </w:pPr>
      <w:r>
        <w:rPr>
          <w:rFonts w:ascii="Arial" w:eastAsia="Times New Roman" w:hAnsi="Arial" w:cs="Arial"/>
          <w:b/>
          <w:bCs/>
          <w:smallCaps/>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lastRenderedPageBreak/>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97"/>
        <w:gridCol w:w="5936"/>
        <w:gridCol w:w="764"/>
        <w:gridCol w:w="909"/>
        <w:gridCol w:w="719"/>
        <w:gridCol w:w="719"/>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Air pollution control agency</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Arizona</w:t>
            </w:r>
            <w:r w:rsidRPr="005E5A2A">
              <w:rPr>
                <w:rFonts w:ascii="Arial" w:eastAsia="Times New Roman" w:hAnsi="Arial" w:cs="Arial"/>
                <w:b/>
                <w:bCs/>
                <w:sz w:val="20"/>
                <w:szCs w:val="20"/>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Maricopa</w:t>
            </w:r>
            <w:r w:rsidRPr="005E5A2A">
              <w:rPr>
                <w:rFonts w:ascii="Arial" w:eastAsia="Times New Roman" w:hAnsi="Arial" w:cs="Arial"/>
                <w:b/>
                <w:bCs/>
                <w:sz w:val="20"/>
                <w:szCs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Pima</w:t>
            </w:r>
            <w:r w:rsidRPr="005E5A2A">
              <w:rPr>
                <w:rFonts w:ascii="Arial" w:eastAsia="Times New Roman" w:hAnsi="Arial" w:cs="Arial"/>
                <w:b/>
                <w:bCs/>
                <w:sz w:val="20"/>
                <w:szCs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Pinal</w:t>
            </w:r>
            <w:r w:rsidRPr="005E5A2A">
              <w:rPr>
                <w:rFonts w:ascii="Arial" w:eastAsia="Times New Roman" w:hAnsi="Arial" w:cs="Arial"/>
                <w:b/>
                <w:bCs/>
                <w:sz w:val="20"/>
                <w:szCs w:val="20"/>
              </w:rPr>
              <w:br/>
              <w:t>County</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5"/>
        <w:gridCol w:w="5548"/>
        <w:gridCol w:w="809"/>
        <w:gridCol w:w="899"/>
        <w:gridCol w:w="721"/>
        <w:gridCol w:w="712"/>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M</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for Which Construction is Commenced After June 11, 1973</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for Which Construction is Commenced After January 20, 1983</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and Processing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Constructed After October 21, 1974 and On or Before August 17, 1983</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and Argon-Oxygen Decarburization Vessels Constructed After August 7, 1983</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 Duty Trucks Surface Coating Operations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5"/>
        <w:gridCol w:w="5548"/>
        <w:gridCol w:w="809"/>
        <w:gridCol w:w="899"/>
        <w:gridCol w:w="721"/>
        <w:gridCol w:w="712"/>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PP</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Chemicals Manufacturing</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VVa</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Wood Heaters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Compounds (VOC) Emissions from the Polymer Manufacturing Industry</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GGGa</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 for Which Construction, Reconstruction, or Modification Commenced After November 7, 2006</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Synthetic Organic Chemical Manufacturing Industry (SOCMI) Air Oxidation Unit Processes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w:t>
            </w:r>
            <w:r w:rsidRPr="005E5A2A">
              <w:rPr>
                <w:rFonts w:ascii="Arial" w:eastAsia="Times New Roman" w:hAnsi="Arial" w:cs="Arial"/>
                <w:sz w:val="20"/>
                <w:szCs w:val="20"/>
                <w:vertAlign w:val="subscript"/>
              </w:rPr>
              <w:t>2</w:t>
            </w:r>
            <w:r w:rsidRPr="005E5A2A">
              <w:rPr>
                <w:rFonts w:ascii="Arial" w:eastAsia="Times New Roman" w:hAnsi="Arial" w:cs="Arial"/>
                <w:sz w:val="20"/>
                <w:szCs w:val="20"/>
              </w:rPr>
              <w:t xml:space="preserve"> Emissions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MMM</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Synthetic Organic Chemical Manufacturing Industry (SOCMI) Distillation Operations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5"/>
        <w:gridCol w:w="5548"/>
        <w:gridCol w:w="809"/>
        <w:gridCol w:w="899"/>
        <w:gridCol w:w="721"/>
        <w:gridCol w:w="712"/>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OOO</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 Systems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Emissions from Synthetic Organic Chemical Manufacturing Industry (SOCMI) Reactor Processes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Facilities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Surface Coating of Plastic Parts for Business Machines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AAAA</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CCCC</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EEEE</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GGGG</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HHHH</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IIII</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Compression Ignition Internal Combustion Engines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JJJJ</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Spark Ignition Internal Combustion Engines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KKKK</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Combustion Turbines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LLLL</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Sewage Sludge Incineration Units</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OOOO</w:t>
            </w:r>
          </w:p>
        </w:tc>
        <w:tc>
          <w:tcPr>
            <w:tcW w:w="296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Crude Oil and Natural Gas Production, Transmission, and Distribution</w:t>
            </w:r>
          </w:p>
        </w:tc>
        <w:tc>
          <w:tcPr>
            <w:tcW w:w="43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3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w:t>
      </w:r>
      <w:r w:rsidRPr="005E5A2A">
        <w:rPr>
          <w:rFonts w:ascii="Arial" w:eastAsia="Times New Roman" w:hAnsi="Arial" w:cs="Arial"/>
          <w:i/>
          <w:iCs/>
          <w:sz w:val="20"/>
          <w:szCs w:val="20"/>
        </w:rPr>
        <w:t>California.</w:t>
      </w:r>
      <w:r w:rsidRPr="005E5A2A">
        <w:rPr>
          <w:rFonts w:ascii="Arial" w:eastAsia="Times New Roman" w:hAnsi="Arial" w:cs="Arial"/>
          <w:sz w:val="20"/>
          <w:szCs w:val="20"/>
        </w:rPr>
        <w:t xml:space="preserve"> The following tables identify delegations for each of the local air pollution control agencies of California.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Delegations for Amador County Air Pollution Control District, Antelope Valley Air Quality Management District, Bay Area Air Quality Management District, and Butte County Air Quality Management District are shown in the following table:</w:t>
      </w:r>
    </w:p>
    <w:p w:rsidR="005E5A2A" w:rsidRDefault="005E5A2A">
      <w:pPr>
        <w:rPr>
          <w:rFonts w:ascii="Arial" w:eastAsia="Times New Roman" w:hAnsi="Arial" w:cs="Arial"/>
          <w:b/>
          <w:bCs/>
          <w:smallCaps/>
          <w:sz w:val="20"/>
          <w:szCs w:val="20"/>
        </w:rPr>
      </w:pPr>
      <w:r>
        <w:rPr>
          <w:rFonts w:ascii="Arial" w:eastAsia="Times New Roman" w:hAnsi="Arial" w:cs="Arial"/>
          <w:b/>
          <w:bCs/>
          <w:smallCaps/>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lastRenderedPageBreak/>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97"/>
        <w:gridCol w:w="5241"/>
        <w:gridCol w:w="925"/>
        <w:gridCol w:w="983"/>
        <w:gridCol w:w="872"/>
        <w:gridCol w:w="1026"/>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Air pollution control agency</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Amador</w:t>
            </w:r>
            <w:r w:rsidRPr="005E5A2A">
              <w:rPr>
                <w:rFonts w:ascii="Arial" w:eastAsia="Times New Roman" w:hAnsi="Arial" w:cs="Arial"/>
                <w:b/>
                <w:bCs/>
                <w:sz w:val="20"/>
                <w:szCs w:val="20"/>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Antelope</w:t>
            </w:r>
            <w:r w:rsidRPr="005E5A2A">
              <w:rPr>
                <w:rFonts w:ascii="Arial" w:eastAsia="Times New Roman" w:hAnsi="Arial" w:cs="Arial"/>
                <w:b/>
                <w:bCs/>
                <w:sz w:val="20"/>
                <w:szCs w:val="20"/>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Butte County AQMD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5"/>
        <w:gridCol w:w="4827"/>
        <w:gridCol w:w="990"/>
        <w:gridCol w:w="990"/>
        <w:gridCol w:w="901"/>
        <w:gridCol w:w="981"/>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Ka</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May 18, 1978, and Prior to July 23, 1984</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for Which Construction is Commenced After June 11, 1973</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for Which Construction is Commenced After January 20, 1983</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and Processing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Constructed After October 21, 1974 and On or Before August 17, 1983</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and Argon-Oxygen Decarburization Vessels Constructed After August 7, 1983</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5"/>
        <w:gridCol w:w="4827"/>
        <w:gridCol w:w="990"/>
        <w:gridCol w:w="990"/>
        <w:gridCol w:w="901"/>
        <w:gridCol w:w="981"/>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DD</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 Duty Trucks Surface Coating Operations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Chemicals Manufacturing</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VVa</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Wood Heaters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Compounds (VOC) Emissions from the Polymer Manufacturing Industry</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GGGa</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 for Which Construction, Reconstruction, or Modification Commenced After November 7, 2006</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5"/>
        <w:gridCol w:w="4827"/>
        <w:gridCol w:w="990"/>
        <w:gridCol w:w="990"/>
        <w:gridCol w:w="901"/>
        <w:gridCol w:w="981"/>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HHH</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Synthetic Organic Chemical Manufacturing Industry (SOCMI) Air Oxidation Unit Processes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w:t>
            </w:r>
            <w:r w:rsidRPr="005E5A2A">
              <w:rPr>
                <w:rFonts w:ascii="Arial" w:eastAsia="Times New Roman" w:hAnsi="Arial" w:cs="Arial"/>
                <w:sz w:val="20"/>
                <w:szCs w:val="20"/>
                <w:vertAlign w:val="subscript"/>
              </w:rPr>
              <w:t>2</w:t>
            </w:r>
            <w:r w:rsidRPr="005E5A2A">
              <w:rPr>
                <w:rFonts w:ascii="Arial" w:eastAsia="Times New Roman" w:hAnsi="Arial" w:cs="Arial"/>
                <w:sz w:val="20"/>
                <w:szCs w:val="20"/>
              </w:rPr>
              <w:t xml:space="preserve"> Emissions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MMM</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Synthetic Organic Chemical Manufacturing Industry (SOCMI) Distillation Operations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 Systems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Emissions from Synthetic Organic Chemical Manufacturing Industry (SOCMI) Reactor Processes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Facilities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Surface Coating of Plastic Parts for Business Machines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AAAA</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CCCC</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EEEE</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GGGG</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HHHH</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IIII</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Compression Ignition Internal Combustion Engines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JJJJ</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Spark Ignition Internal Combustion Engines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KKKK</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Combustion Turbines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LLLL</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Sewage Sludge Incineration Units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OOOO</w:t>
            </w:r>
          </w:p>
        </w:tc>
        <w:tc>
          <w:tcPr>
            <w:tcW w:w="2583"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Crude Oil and Natural Gas Production, Transmission, and Distribution</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(ii) [Reserved]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4598"/>
        <w:gridCol w:w="911"/>
        <w:gridCol w:w="1263"/>
        <w:gridCol w:w="1218"/>
        <w:gridCol w:w="1068"/>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Air pollution control agency </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Glenn</w:t>
            </w:r>
            <w:r w:rsidRPr="005E5A2A">
              <w:rPr>
                <w:rFonts w:ascii="Arial" w:eastAsia="Times New Roman" w:hAnsi="Arial" w:cs="Arial"/>
                <w:b/>
                <w:bCs/>
                <w:sz w:val="20"/>
                <w:szCs w:val="20"/>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Kern County APCD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4253"/>
        <w:gridCol w:w="899"/>
        <w:gridCol w:w="1261"/>
        <w:gridCol w:w="1260"/>
        <w:gridCol w:w="1073"/>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G</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May 18, 1978, and Prior to July 23, 1984</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for Which Construction is Commenced After June 11, 1973</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for Which Construction is Commenced After January 20, 1983</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4253"/>
        <w:gridCol w:w="899"/>
        <w:gridCol w:w="1261"/>
        <w:gridCol w:w="1260"/>
        <w:gridCol w:w="1073"/>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X</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Constructed After October 21, 1974 and On or Before August 17, 1983</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and Argon-Oxygen Decarburization Vessels Constructed After August 7, 1983</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 Duty Trucks Surface Coating Operations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Chemicals Manufacturing Industry</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Wool Heaters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4253"/>
        <w:gridCol w:w="899"/>
        <w:gridCol w:w="1261"/>
        <w:gridCol w:w="1260"/>
        <w:gridCol w:w="1073"/>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CCC</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Compounds (VOC) Emissions from the Polymer Manufacturing Industry</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Synthetic Organic Chemical Manufacturing Industry (SOCMI) Air Oxidation Unit Processes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SO2 Emissions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MMM</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Synthetic Organic Chemical Manufacturing Industry (SOCMI) Distillation Operations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 Systems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Emissions from Synthetic Organic Chemical Manufacturing Industry (SOCMI) Reactor Processes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Facilities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Surface Coating of Plastic Parts for Business Machines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w:t>
            </w:r>
          </w:p>
        </w:tc>
        <w:tc>
          <w:tcPr>
            <w:tcW w:w="227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481"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75"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7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(iv) Delegations for Lake County Air Quality Management District, Lassen County Air Pollution Control District, Mariposa County Air Pollution Control District, and Mendocino County Air Pollution Control District are shown in the following table: </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lastRenderedPageBreak/>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4687"/>
        <w:gridCol w:w="925"/>
        <w:gridCol w:w="959"/>
        <w:gridCol w:w="1155"/>
        <w:gridCol w:w="1332"/>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Air pollution control agency </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Mendocino County AQMD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4343"/>
        <w:gridCol w:w="990"/>
        <w:gridCol w:w="901"/>
        <w:gridCol w:w="1170"/>
        <w:gridCol w:w="1342"/>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L</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for Which Construction is Commenced After June 11, 1973</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for Which Construction is Commenced After January 20, 1983</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Constructed After October 21, 1974 and On or Before August 17, 1983</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and Argon-Oxygen Decarburization Vessels Constructed After August 7, 1983</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4343"/>
        <w:gridCol w:w="990"/>
        <w:gridCol w:w="901"/>
        <w:gridCol w:w="1170"/>
        <w:gridCol w:w="1342"/>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HH</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 Duty Trucks Surface Coating Operations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Chemicals Manufacturing Industry</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Wool Heaters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Compounds (VOC) Emissions from the Polymer Manufacturing Industry</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Synthetic Organic Chemical Manufacturing Industry (SOCMI) Air Oxidation Unit Processes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bl>
    <w:p w:rsidR="005E5A2A" w:rsidRDefault="005E5A2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4343"/>
        <w:gridCol w:w="990"/>
        <w:gridCol w:w="901"/>
        <w:gridCol w:w="1170"/>
        <w:gridCol w:w="1342"/>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LLL</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SO2 Emissions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MMM</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Synthetic Organic Chemical Manufacturing Industry (SOCMI) Distillation Operations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 Systems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Emissions from Synthetic Organic Chemical Manufacturing Industry (SOCMI) Reactor Processes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Facilities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Surface Coating of Plastic Parts for Business Machines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w:t>
            </w:r>
          </w:p>
        </w:tc>
        <w:tc>
          <w:tcPr>
            <w:tcW w:w="232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530"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48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6"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718"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 Delegations for Modoc Air Pollution Control District, Mojave Desert Air Quality Management District, Monterey Bay Unified Air Pollution Control District and North Coast Unified Air Quality Management District are shown in the following table:</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719"/>
        <w:gridCol w:w="911"/>
        <w:gridCol w:w="904"/>
        <w:gridCol w:w="1178"/>
        <w:gridCol w:w="979"/>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Air pollution control agency</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North Coast Unified AQMD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w:t>
            </w:r>
            <w:r w:rsidRPr="005E5A2A">
              <w:rPr>
                <w:rFonts w:ascii="Arial" w:eastAsia="Times New Roman" w:hAnsi="Arial" w:cs="Arial"/>
                <w:sz w:val="20"/>
                <w:szCs w:val="20"/>
                <w:vertAlign w:val="subscript"/>
              </w:rPr>
              <w:t>2</w:t>
            </w:r>
            <w:r w:rsidRPr="005E5A2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rsidR="005E5A2A" w:rsidRDefault="005E5A2A">
      <w:pPr>
        <w:rPr>
          <w:rFonts w:ascii="Arial" w:eastAsia="Times New Roman" w:hAnsi="Arial" w:cs="Arial"/>
          <w:b/>
          <w:bCs/>
          <w:smallCaps/>
          <w:sz w:val="20"/>
          <w:szCs w:val="20"/>
        </w:rPr>
      </w:pPr>
      <w:r>
        <w:rPr>
          <w:rFonts w:ascii="Arial" w:eastAsia="Times New Roman" w:hAnsi="Arial" w:cs="Arial"/>
          <w:b/>
          <w:bCs/>
          <w:smallCaps/>
          <w:sz w:val="20"/>
          <w:szCs w:val="20"/>
        </w:rPr>
        <w:br w:type="page"/>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lastRenderedPageBreak/>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4270"/>
        <w:gridCol w:w="1086"/>
        <w:gridCol w:w="1237"/>
        <w:gridCol w:w="929"/>
        <w:gridCol w:w="1536"/>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Air pollution control agency </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Sacramento Metropolitan AQMD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bl>
    <w:p w:rsidR="005E5A2A" w:rsidRDefault="005E5A2A">
      <w:r>
        <w:br w:type="page"/>
      </w:r>
      <w:bookmarkStart w:id="5" w:name="_GoBack"/>
      <w:bookmarkEnd w:id="5"/>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0"/>
        <w:gridCol w:w="3984"/>
        <w:gridCol w:w="1078"/>
        <w:gridCol w:w="1172"/>
        <w:gridCol w:w="989"/>
        <w:gridCol w:w="1521"/>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Kb</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for Which Construction is Commenced After June 11, 1973</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for Which Construction is Commenced After January 20, 1983</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Constructed After October 21, 1974 and On or Before August 17, 1983</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and Argon-Oxygen Decarburization Vessels Constructed After August 7, 1983</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EE</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 Duty Trucks Surface Coating Operations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Chemicals Manufacturing Industry</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Wool Heaters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Compounds (VOC) Emissions from the Polymer Manufacturing Industry</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Synthetic Organic Chemical Manufacturing Industry (SOCMI) Air Oxidation Unit Processes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JJJ</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SO2 Emissions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MMM</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Synthetic Organic Chemical Manufacturing Industry (SOCMI) Distillation Operations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 Systems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Emissions from Synthetic Organic Chemical Manufacturing Industry (SOCMI) Reactor Processes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Facilities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Surface Coating of Plastic Parts for Business Machines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w:t>
            </w:r>
          </w:p>
        </w:tc>
        <w:tc>
          <w:tcPr>
            <w:tcW w:w="2132"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57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627"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529"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814" w:type="pct"/>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553"/>
        <w:gridCol w:w="942"/>
        <w:gridCol w:w="1122"/>
        <w:gridCol w:w="1023"/>
        <w:gridCol w:w="1051"/>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Air pollution control agency</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Santa Barbara County APCD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w:t>
            </w:r>
            <w:r w:rsidRPr="005E5A2A">
              <w:rPr>
                <w:rFonts w:ascii="Arial" w:eastAsia="Times New Roman" w:hAnsi="Arial" w:cs="Arial"/>
                <w:sz w:val="20"/>
                <w:szCs w:val="20"/>
                <w:vertAlign w:val="subscript"/>
              </w:rPr>
              <w:t>2</w:t>
            </w:r>
            <w:r w:rsidRPr="005E5A2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NNN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4963"/>
        <w:gridCol w:w="940"/>
        <w:gridCol w:w="1072"/>
        <w:gridCol w:w="840"/>
        <w:gridCol w:w="875"/>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Air pollution control agency</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Tehama</w:t>
            </w:r>
            <w:r w:rsidRPr="005E5A2A">
              <w:rPr>
                <w:rFonts w:ascii="Arial" w:eastAsia="Times New Roman" w:hAnsi="Arial" w:cs="Arial"/>
                <w:b/>
                <w:bCs/>
                <w:sz w:val="20"/>
                <w:szCs w:val="20"/>
              </w:rPr>
              <w:br/>
              <w:t>County APCD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Ka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w:t>
            </w:r>
            <w:r w:rsidRPr="005E5A2A">
              <w:rPr>
                <w:rFonts w:ascii="Arial" w:eastAsia="Times New Roman" w:hAnsi="Arial" w:cs="Arial"/>
                <w:sz w:val="20"/>
                <w:szCs w:val="20"/>
                <w:vertAlign w:val="subscript"/>
              </w:rPr>
              <w:t>2</w:t>
            </w:r>
            <w:r w:rsidRPr="005E5A2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JJJJ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(ix) Delegations for Tuolumne County Air Pollution Control District, Ventura County Air Pollution Control District, and Yolo-Solano Air Quality Management District are shown in the following table:</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480"/>
        <w:gridCol w:w="1250"/>
        <w:gridCol w:w="1039"/>
        <w:gridCol w:w="922"/>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Air Pollution Control Agency</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Yolo-Solano AQMD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Ka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w:t>
      </w:r>
      <w:r w:rsidRPr="005E5A2A">
        <w:rPr>
          <w:rFonts w:ascii="Arial" w:eastAsia="Times New Roman" w:hAnsi="Arial" w:cs="Arial"/>
          <w:i/>
          <w:iCs/>
          <w:sz w:val="20"/>
          <w:szCs w:val="20"/>
        </w:rPr>
        <w:t>Hawaii.</w:t>
      </w:r>
      <w:r w:rsidRPr="005E5A2A">
        <w:rPr>
          <w:rFonts w:ascii="Arial" w:eastAsia="Times New Roman" w:hAnsi="Arial" w:cs="Arial"/>
          <w:sz w:val="20"/>
          <w:szCs w:val="20"/>
        </w:rPr>
        <w:t xml:space="preserve"> The following table identifies delegations for Hawaii:</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Delegation Status for New Source Performance Standards for Hawaii:</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lastRenderedPageBreak/>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8027"/>
        <w:gridCol w:w="664"/>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Hawaii</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BBB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JJJJ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w:t>
      </w:r>
      <w:r w:rsidRPr="005E5A2A">
        <w:rPr>
          <w:rFonts w:ascii="Arial" w:eastAsia="Times New Roman" w:hAnsi="Arial" w:cs="Arial"/>
          <w:i/>
          <w:iCs/>
          <w:sz w:val="20"/>
          <w:szCs w:val="20"/>
        </w:rPr>
        <w:t>Nevada.</w:t>
      </w:r>
      <w:r w:rsidRPr="005E5A2A">
        <w:rPr>
          <w:rFonts w:ascii="Arial" w:eastAsia="Times New Roman" w:hAnsi="Arial" w:cs="Arial"/>
          <w:sz w:val="20"/>
          <w:szCs w:val="20"/>
        </w:rPr>
        <w:t xml:space="preserve"> The following table identifies delegations for Nevada: </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6190"/>
        <w:gridCol w:w="853"/>
        <w:gridCol w:w="851"/>
        <w:gridCol w:w="797"/>
      </w:tblGrid>
      <w:tr w:rsidR="005E5A2A" w:rsidRPr="005E5A2A" w:rsidTr="005E5A2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Air pollution control agency</w:t>
            </w:r>
          </w:p>
        </w:tc>
      </w:tr>
      <w:tr w:rsidR="005E5A2A" w:rsidRPr="005E5A2A" w:rsidTr="005E5A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E5A2A" w:rsidRPr="005E5A2A" w:rsidRDefault="005E5A2A" w:rsidP="005E5A2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Nevada 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Clark 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Washoe</w:t>
            </w:r>
            <w:r w:rsidRPr="005E5A2A">
              <w:rPr>
                <w:rFonts w:ascii="Arial" w:eastAsia="Times New Roman" w:hAnsi="Arial" w:cs="Arial"/>
                <w:b/>
                <w:bCs/>
                <w:sz w:val="20"/>
                <w:szCs w:val="20"/>
              </w:rPr>
              <w:br/>
              <w:t>County</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w:t>
            </w:r>
            <w:r w:rsidRPr="005E5A2A">
              <w:rPr>
                <w:rFonts w:ascii="Arial" w:eastAsia="Times New Roman" w:hAnsi="Arial" w:cs="Arial"/>
                <w:sz w:val="20"/>
                <w:szCs w:val="20"/>
                <w:vertAlign w:val="subscript"/>
              </w:rPr>
              <w:t>2</w:t>
            </w:r>
            <w:r w:rsidRPr="005E5A2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PPP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Times New Roman" w:eastAsia="Times New Roman" w:hAnsi="Times New Roman" w:cs="Times New Roman"/>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(5) </w:t>
      </w:r>
      <w:r w:rsidRPr="005E5A2A">
        <w:rPr>
          <w:rFonts w:ascii="Arial" w:eastAsia="Times New Roman" w:hAnsi="Arial" w:cs="Arial"/>
          <w:i/>
          <w:iCs/>
          <w:sz w:val="20"/>
          <w:szCs w:val="20"/>
        </w:rPr>
        <w:t>Guam.</w:t>
      </w:r>
      <w:r w:rsidRPr="005E5A2A">
        <w:rPr>
          <w:rFonts w:ascii="Arial" w:eastAsia="Times New Roman" w:hAnsi="Arial" w:cs="Arial"/>
          <w:sz w:val="20"/>
          <w:szCs w:val="20"/>
        </w:rPr>
        <w:t xml:space="preserve"> The following table identifies delegations as of June 15, 2001:</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8461"/>
        <w:gridCol w:w="597"/>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Guam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X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(e) The following lists the specific part 60 standards that have been delegated unchanged to the air pollution control agencies in Region 6.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w:t>
      </w:r>
      <w:r w:rsidRPr="005E5A2A">
        <w:rPr>
          <w:rFonts w:ascii="Arial" w:eastAsia="Times New Roman" w:hAnsi="Arial" w:cs="Arial"/>
          <w:i/>
          <w:iCs/>
          <w:sz w:val="20"/>
          <w:szCs w:val="20"/>
        </w:rPr>
        <w:t>New Mexico.</w:t>
      </w:r>
      <w:r w:rsidRPr="005E5A2A">
        <w:rPr>
          <w:rFonts w:ascii="Arial" w:eastAsia="Times New Roman" w:hAnsi="Arial" w:cs="Arial"/>
          <w:sz w:val="20"/>
          <w:szCs w:val="20"/>
        </w:rPr>
        <w:t xml:space="preserve"> The New Mexico Environment Department has been delegated all part 60 standards promulgated by EPA, except subpart AAA—Standards of Performance for New Residential Wood Heaters, as amended in the </w:t>
      </w:r>
      <w:r w:rsidRPr="005E5A2A">
        <w:rPr>
          <w:rFonts w:ascii="Arial" w:eastAsia="Times New Roman" w:hAnsi="Arial" w:cs="Arial"/>
          <w:smallCaps/>
          <w:sz w:val="20"/>
          <w:szCs w:val="20"/>
        </w:rPr>
        <w:t>Federal Register</w:t>
      </w:r>
      <w:r w:rsidRPr="005E5A2A">
        <w:rPr>
          <w:rFonts w:ascii="Arial" w:eastAsia="Times New Roman" w:hAnsi="Arial" w:cs="Arial"/>
          <w:sz w:val="20"/>
          <w:szCs w:val="20"/>
        </w:rPr>
        <w:t xml:space="preserve"> through September 1, 2002.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Louisiana. The Louisiana Department of Environmental Quality has been delegated all part 60 standards promulgated by EPA, except subpart AAA—Standards for Performance for New Residential Wood Heaters, as amended in the </w:t>
      </w:r>
      <w:r w:rsidRPr="005E5A2A">
        <w:rPr>
          <w:rFonts w:ascii="Arial" w:eastAsia="Times New Roman" w:hAnsi="Arial" w:cs="Arial"/>
          <w:smallCaps/>
          <w:sz w:val="20"/>
          <w:szCs w:val="20"/>
        </w:rPr>
        <w:t>Federal Register</w:t>
      </w:r>
      <w:r w:rsidRPr="005E5A2A">
        <w:rPr>
          <w:rFonts w:ascii="Arial" w:eastAsia="Times New Roman" w:hAnsi="Arial" w:cs="Arial"/>
          <w:sz w:val="20"/>
          <w:szCs w:val="20"/>
        </w:rPr>
        <w:t xml:space="preserve"> through July 1, 2008.</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t>Delegation Status for Part 60 Standards—State of Louisiana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86"/>
        <w:gridCol w:w="7900"/>
        <w:gridCol w:w="658"/>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LDEQ</w:t>
            </w:r>
            <w:r w:rsidRPr="005E5A2A">
              <w:rPr>
                <w:rFonts w:ascii="Arial" w:eastAsia="Times New Roman" w:hAnsi="Arial" w:cs="Arial"/>
                <w:b/>
                <w:bCs/>
                <w:sz w:val="20"/>
                <w:szCs w:val="20"/>
                <w:vertAlign w:val="superscript"/>
              </w:rPr>
              <w:t>1</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Fossil Fueled Steam Generators (&gt;250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Electric Utility Steam Generating Units (&gt;250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 (100 to 250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Small Steam Generating Units (10 to 100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Incinerators (&gt;50 tons per day).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 (After May 14, 2007). Including amendments issued July 28, 2008. (73 FR 43626)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Surface Coating of Metal Furnature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WWW</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Other Solid Waste Incineration Units (Constructed after 12/09/2004 or Modicatation/Reconstruction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Spark Ignition Internal Combustion Engines. Including amendments issued October 8, 2008. (73 FR 59175)</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Yes</w:t>
            </w: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1</w:t>
      </w:r>
      <w:r w:rsidRPr="005E5A2A">
        <w:rPr>
          <w:rFonts w:ascii="Arial" w:eastAsia="Times New Roman" w:hAnsi="Arial" w:cs="Arial"/>
          <w:sz w:val="20"/>
          <w:szCs w:val="20"/>
        </w:rPr>
        <w:t>The Louisiana Department of Environmental Quality (LDEQ) has been delegated all Part 60 standards promulgated by EPA, except subpart AAA—Standards of Performance for New Residential Wood Heaters—as amended in the Federal Register through July 1, 2008.</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w:t>
      </w:r>
      <w:r w:rsidRPr="005E5A2A">
        <w:rPr>
          <w:rFonts w:ascii="Arial" w:eastAsia="Times New Roman" w:hAnsi="Arial" w:cs="Arial"/>
          <w:i/>
          <w:iCs/>
          <w:sz w:val="20"/>
          <w:szCs w:val="20"/>
        </w:rPr>
        <w:t>Albuquerque-Bernalillo County Air Quality Control Board.</w:t>
      </w:r>
      <w:r w:rsidRPr="005E5A2A">
        <w:rPr>
          <w:rFonts w:ascii="Arial" w:eastAsia="Times New Roman" w:hAnsi="Arial" w:cs="Arial"/>
          <w:sz w:val="20"/>
          <w:szCs w:val="20"/>
        </w:rPr>
        <w:t xml:space="preserve"> 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 </w:t>
      </w:r>
      <w:r w:rsidRPr="005E5A2A">
        <w:rPr>
          <w:rFonts w:ascii="Arial" w:eastAsia="Times New Roman" w:hAnsi="Arial" w:cs="Arial"/>
          <w:smallCaps/>
          <w:sz w:val="20"/>
          <w:szCs w:val="20"/>
        </w:rPr>
        <w:t>Federal Register</w:t>
      </w:r>
      <w:r w:rsidRPr="005E5A2A">
        <w:rPr>
          <w:rFonts w:ascii="Arial" w:eastAsia="Times New Roman" w:hAnsi="Arial" w:cs="Arial"/>
          <w:sz w:val="20"/>
          <w:szCs w:val="20"/>
        </w:rPr>
        <w:t xml:space="preserve"> through July 1, 2004.</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 xml:space="preserve">[40 FR 18169, Apr. 25, 1975] </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Editorial Note:</w:t>
      </w:r>
      <w:r w:rsidRPr="005E5A2A">
        <w:rPr>
          <w:rFonts w:ascii="Arial" w:eastAsia="Times New Roman" w:hAnsi="Arial" w:cs="Arial"/>
          <w:sz w:val="18"/>
          <w:szCs w:val="18"/>
        </w:rPr>
        <w:t xml:space="preserve"> For </w:t>
      </w:r>
      <w:r w:rsidRPr="005E5A2A">
        <w:rPr>
          <w:rFonts w:ascii="Arial" w:eastAsia="Times New Roman" w:hAnsi="Arial" w:cs="Arial"/>
          <w:smallCaps/>
          <w:sz w:val="18"/>
          <w:szCs w:val="18"/>
        </w:rPr>
        <w:t>Federal Register</w:t>
      </w:r>
      <w:r w:rsidRPr="005E5A2A">
        <w:rPr>
          <w:rFonts w:ascii="Arial" w:eastAsia="Times New Roman" w:hAnsi="Arial" w:cs="Arial"/>
          <w:sz w:val="18"/>
          <w:szCs w:val="18"/>
        </w:rPr>
        <w:t xml:space="preserve"> citations affecting §60.4 see the List of CFR Sections Affected, which appears in the Finding Aids section of the printed volume and at </w:t>
      </w:r>
      <w:r w:rsidRPr="005E5A2A">
        <w:rPr>
          <w:rFonts w:ascii="Arial" w:eastAsia="Times New Roman" w:hAnsi="Arial" w:cs="Arial"/>
          <w:i/>
          <w:iCs/>
          <w:sz w:val="18"/>
          <w:szCs w:val="18"/>
        </w:rPr>
        <w:t>www.fdsys.gov.</w:t>
      </w:r>
      <w:r w:rsidRPr="005E5A2A">
        <w:rPr>
          <w:rFonts w:ascii="Arial" w:eastAsia="Times New Roman" w:hAnsi="Arial" w:cs="Arial"/>
          <w:sz w:val="18"/>
          <w:szCs w:val="18"/>
        </w:rPr>
        <w:t xml:space="preserve">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34"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20" name="Picture 20"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6" w:name="40:7.0.1.1.1.1.151.5"/>
      <w:bookmarkEnd w:id="6"/>
      <w:r w:rsidRPr="005E5A2A">
        <w:rPr>
          <w:rFonts w:ascii="Arial" w:eastAsia="Times New Roman" w:hAnsi="Arial" w:cs="Arial"/>
          <w:b/>
          <w:bCs/>
          <w:sz w:val="20"/>
          <w:szCs w:val="20"/>
        </w:rPr>
        <w:t>§60.5   Determination of construction or modification.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(b) The Administrator will respond to any request for a determination under paragraph (a) of this section within 30 days of receipt of such request. </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 xml:space="preserve">[40 FR 58418, Dec. 16, 1975]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35"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19" name="Picture 19"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7" w:name="40:7.0.1.1.1.1.151.6"/>
      <w:bookmarkEnd w:id="7"/>
      <w:r w:rsidRPr="005E5A2A">
        <w:rPr>
          <w:rFonts w:ascii="Arial" w:eastAsia="Times New Roman" w:hAnsi="Arial" w:cs="Arial"/>
          <w:b/>
          <w:bCs/>
          <w:sz w:val="20"/>
          <w:szCs w:val="20"/>
        </w:rPr>
        <w:t>§60.6   Review of plans.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(a) When requested to do so by an owner or operator, the Administrator will review plans for construction or modification for the purpose of providing technical advice to the owner or operator.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(b)(1) A separate request shall be submitted for each construction or modification project.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 xml:space="preserve">[36 FR 24877, Dec. 23, 1971, as amended at 39 FR 9314, Mar. 8, 1974]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36"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18" name="Picture 18"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8" w:name="40:7.0.1.1.1.1.151.7"/>
      <w:bookmarkEnd w:id="8"/>
      <w:r w:rsidRPr="005E5A2A">
        <w:rPr>
          <w:rFonts w:ascii="Arial" w:eastAsia="Times New Roman" w:hAnsi="Arial" w:cs="Arial"/>
          <w:b/>
          <w:bCs/>
          <w:sz w:val="20"/>
          <w:szCs w:val="20"/>
        </w:rPr>
        <w:t>§60.7   Notification and record keeping.</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[Reserved]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A notification of the actual date of initial startup of an affected facility postmarked within 15 days after such date.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(5) A notification of the date upon which demonstration of the continuous monitoring system performance commences in accordance with §60.13(c). Notification shall be postmarked not less than 30 days prior to such date.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(b) Any owner or operator subject to the provisions of this part shall maintain records of the occurrence and duration of any startup, shutdown, or malfunction in the operation of an affected facility; </w:t>
      </w:r>
      <w:r w:rsidRPr="005E5A2A">
        <w:rPr>
          <w:rFonts w:ascii="Arial" w:eastAsia="Times New Roman" w:hAnsi="Arial" w:cs="Arial"/>
          <w:sz w:val="20"/>
          <w:szCs w:val="20"/>
        </w:rPr>
        <w:lastRenderedPageBreak/>
        <w:t xml:space="preserve">any malfunction of the air pollution control equipment; or any periods during which a continuous monitoring system or monitoring device is inoperative.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The date and time identifying each period during which the continuous monitoring system was inoperative except for zero and span checks and the nature of the system repairs or adjustments.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When no excess emissions have occurred or the continuous monitoring system(s) have not been inoperative, repaired, or adjusted, such information shall be stated in the report.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5E5A2A" w:rsidRPr="005E5A2A" w:rsidRDefault="005E5A2A" w:rsidP="005E5A2A">
      <w:pPr>
        <w:spacing w:before="200" w:after="100" w:line="240" w:lineRule="auto"/>
        <w:outlineLvl w:val="0"/>
        <w:rPr>
          <w:rFonts w:ascii="Arial" w:eastAsia="Times New Roman" w:hAnsi="Arial" w:cs="Arial"/>
          <w:smallCaps/>
          <w:kern w:val="36"/>
          <w:sz w:val="20"/>
          <w:szCs w:val="20"/>
        </w:rPr>
      </w:pPr>
      <w:r w:rsidRPr="005E5A2A">
        <w:rPr>
          <w:rFonts w:ascii="Arial" w:eastAsia="Times New Roman" w:hAnsi="Arial" w:cs="Arial"/>
          <w:smallCaps/>
          <w:kern w:val="36"/>
          <w:sz w:val="20"/>
          <w:szCs w:val="20"/>
        </w:rPr>
        <w:t>Figure 1—Summary Report—Gaseous and Opacity Excess Emission and Monitoring System Performance</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Pollutant (Circle One—SO</w:t>
      </w:r>
      <w:r w:rsidRPr="005E5A2A">
        <w:rPr>
          <w:rFonts w:ascii="Arial" w:eastAsia="Times New Roman" w:hAnsi="Arial" w:cs="Arial"/>
          <w:sz w:val="13"/>
          <w:szCs w:val="13"/>
          <w:vertAlign w:val="subscript"/>
        </w:rPr>
        <w:t>2</w:t>
      </w:r>
      <w:r w:rsidRPr="005E5A2A">
        <w:rPr>
          <w:rFonts w:ascii="Arial" w:eastAsia="Times New Roman" w:hAnsi="Arial" w:cs="Arial"/>
          <w:sz w:val="18"/>
          <w:szCs w:val="18"/>
        </w:rPr>
        <w:t>/NO</w:t>
      </w:r>
      <w:r w:rsidRPr="005E5A2A">
        <w:rPr>
          <w:rFonts w:ascii="Arial" w:eastAsia="Times New Roman" w:hAnsi="Arial" w:cs="Arial"/>
          <w:sz w:val="13"/>
          <w:szCs w:val="13"/>
          <w:vertAlign w:val="subscript"/>
        </w:rPr>
        <w:t>X</w:t>
      </w:r>
      <w:r w:rsidRPr="005E5A2A">
        <w:rPr>
          <w:rFonts w:ascii="Arial" w:eastAsia="Times New Roman" w:hAnsi="Arial" w:cs="Arial"/>
          <w:sz w:val="18"/>
          <w:szCs w:val="18"/>
        </w:rPr>
        <w:t>/TRS/H</w:t>
      </w:r>
      <w:r w:rsidRPr="005E5A2A">
        <w:rPr>
          <w:rFonts w:ascii="Arial" w:eastAsia="Times New Roman" w:hAnsi="Arial" w:cs="Arial"/>
          <w:sz w:val="13"/>
          <w:szCs w:val="13"/>
          <w:vertAlign w:val="subscript"/>
        </w:rPr>
        <w:t>2</w:t>
      </w:r>
      <w:r w:rsidRPr="005E5A2A">
        <w:rPr>
          <w:rFonts w:ascii="Arial" w:eastAsia="Times New Roman" w:hAnsi="Arial" w:cs="Arial"/>
          <w:sz w:val="18"/>
          <w:szCs w:val="18"/>
        </w:rPr>
        <w:t>S/CO/Opacity)</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Reporting period dates: From _____ to _____</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Company:</w:t>
      </w:r>
    </w:p>
    <w:p w:rsidR="005E5A2A" w:rsidRPr="005E5A2A" w:rsidRDefault="005E5A2A" w:rsidP="005E5A2A">
      <w:pPr>
        <w:spacing w:after="0" w:line="240" w:lineRule="auto"/>
        <w:rPr>
          <w:rFonts w:ascii="Arial" w:eastAsia="Times New Roman" w:hAnsi="Arial" w:cs="Arial"/>
          <w:sz w:val="18"/>
          <w:szCs w:val="18"/>
        </w:rPr>
      </w:pPr>
      <w:r w:rsidRPr="005E5A2A">
        <w:rPr>
          <w:rFonts w:ascii="Arial" w:eastAsia="Times New Roman" w:hAnsi="Arial" w:cs="Arial"/>
          <w:sz w:val="18"/>
          <w:szCs w:val="18"/>
          <w:shd w:val="clear" w:color="auto" w:fill="FFFFFF"/>
        </w:rPr>
        <w:t>Emission Limitation</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t>Address:</w:t>
      </w:r>
    </w:p>
    <w:p w:rsidR="005E5A2A" w:rsidRPr="005E5A2A" w:rsidRDefault="005E5A2A" w:rsidP="005E5A2A">
      <w:pPr>
        <w:spacing w:after="0" w:line="240" w:lineRule="auto"/>
        <w:rPr>
          <w:rFonts w:ascii="Arial" w:eastAsia="Times New Roman" w:hAnsi="Arial" w:cs="Arial"/>
          <w:sz w:val="18"/>
          <w:szCs w:val="18"/>
        </w:rPr>
      </w:pPr>
      <w:r w:rsidRPr="005E5A2A">
        <w:rPr>
          <w:rFonts w:ascii="Arial" w:eastAsia="Times New Roman" w:hAnsi="Arial" w:cs="Arial"/>
          <w:sz w:val="18"/>
          <w:szCs w:val="18"/>
          <w:shd w:val="clear" w:color="auto" w:fill="FFFFFF"/>
        </w:rPr>
        <w:t>Monitor Manufacturer and Model No.</w:t>
      </w:r>
    </w:p>
    <w:p w:rsidR="005E5A2A" w:rsidRPr="005E5A2A" w:rsidRDefault="005E5A2A" w:rsidP="005E5A2A">
      <w:pPr>
        <w:spacing w:after="0" w:line="240" w:lineRule="auto"/>
        <w:rPr>
          <w:rFonts w:ascii="Arial" w:eastAsia="Times New Roman" w:hAnsi="Arial" w:cs="Arial"/>
          <w:sz w:val="18"/>
          <w:szCs w:val="18"/>
        </w:rPr>
      </w:pPr>
      <w:r w:rsidRPr="005E5A2A">
        <w:rPr>
          <w:rFonts w:ascii="Arial" w:eastAsia="Times New Roman" w:hAnsi="Arial" w:cs="Arial"/>
          <w:sz w:val="18"/>
          <w:szCs w:val="18"/>
          <w:shd w:val="clear" w:color="auto" w:fill="FFFFFF"/>
        </w:rPr>
        <w:t>Date of Latest CMS Certification or Audit</w:t>
      </w:r>
    </w:p>
    <w:p w:rsidR="005E5A2A" w:rsidRPr="005E5A2A" w:rsidRDefault="005E5A2A" w:rsidP="005E5A2A">
      <w:pPr>
        <w:spacing w:before="200" w:after="100" w:line="240" w:lineRule="auto"/>
        <w:ind w:left="480" w:hanging="480"/>
        <w:rPr>
          <w:rFonts w:ascii="Arial" w:eastAsia="Times New Roman" w:hAnsi="Arial" w:cs="Arial"/>
          <w:sz w:val="18"/>
          <w:szCs w:val="18"/>
        </w:rPr>
      </w:pPr>
      <w:r w:rsidRPr="005E5A2A">
        <w:rPr>
          <w:rFonts w:ascii="Arial" w:eastAsia="Times New Roman" w:hAnsi="Arial" w:cs="Arial"/>
          <w:sz w:val="18"/>
          <w:szCs w:val="18"/>
        </w:rPr>
        <w:lastRenderedPageBreak/>
        <w:t>Process Unit(s) Description:</w:t>
      </w:r>
    </w:p>
    <w:p w:rsidR="005E5A2A" w:rsidRPr="005E5A2A" w:rsidRDefault="005E5A2A" w:rsidP="005E5A2A">
      <w:pPr>
        <w:spacing w:line="240" w:lineRule="auto"/>
        <w:rPr>
          <w:rFonts w:ascii="Arial" w:eastAsia="Times New Roman" w:hAnsi="Arial" w:cs="Arial"/>
          <w:sz w:val="18"/>
          <w:szCs w:val="18"/>
        </w:rPr>
      </w:pPr>
      <w:r w:rsidRPr="005E5A2A">
        <w:rPr>
          <w:rFonts w:ascii="Arial" w:eastAsia="Times New Roman" w:hAnsi="Arial" w:cs="Arial"/>
          <w:sz w:val="18"/>
          <w:szCs w:val="18"/>
          <w:shd w:val="clear" w:color="auto" w:fill="FFFFFF"/>
        </w:rPr>
        <w:t>Total source operating time in reporting period</w:t>
      </w:r>
      <w:r w:rsidRPr="005E5A2A">
        <w:rPr>
          <w:rFonts w:ascii="Arial" w:eastAsia="Times New Roman" w:hAnsi="Arial" w:cs="Arial"/>
          <w:sz w:val="13"/>
          <w:szCs w:val="13"/>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876"/>
        <w:gridCol w:w="281"/>
        <w:gridCol w:w="3906"/>
        <w:gridCol w:w="281"/>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Emission data summary</w:t>
            </w:r>
            <w:r w:rsidRPr="005E5A2A">
              <w:rPr>
                <w:rFonts w:ascii="Arial" w:eastAsia="Times New Roman" w:hAnsi="Arial" w:cs="Arial"/>
                <w:b/>
                <w:bCs/>
                <w:sz w:val="20"/>
                <w:szCs w:val="20"/>
                <w:vertAlign w:val="superscript"/>
              </w:rPr>
              <w:t>1</w:t>
            </w:r>
            <w:r w:rsidRPr="005E5A2A">
              <w:rPr>
                <w:rFonts w:ascii="Arial" w:eastAsia="Times New Roman"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CMS performance summary</w:t>
            </w:r>
            <w:r w:rsidRPr="005E5A2A">
              <w:rPr>
                <w:rFonts w:ascii="Arial" w:eastAsia="Times New Roman" w:hAnsi="Arial" w:cs="Arial"/>
                <w:b/>
                <w:bCs/>
                <w:sz w:val="20"/>
                <w:szCs w:val="20"/>
                <w:vertAlign w:val="superscript"/>
              </w:rPr>
              <w:t>1</w:t>
            </w:r>
            <w:r w:rsidRPr="005E5A2A">
              <w:rPr>
                <w:rFonts w:ascii="Arial" w:eastAsia="Times New Roman"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r w:rsidRPr="005E5A2A">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w:t>
            </w:r>
            <w:r w:rsidRPr="005E5A2A">
              <w:rPr>
                <w:rFonts w:ascii="Arial" w:eastAsia="Times New Roman" w:hAnsi="Arial" w:cs="Arial"/>
                <w:sz w:val="20"/>
                <w:szCs w:val="20"/>
                <w:vertAlign w:val="superscript"/>
              </w:rPr>
              <w:t>2</w:t>
            </w: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vertAlign w:val="superscript"/>
        </w:rPr>
        <w:t>1</w:t>
      </w:r>
      <w:r w:rsidRPr="005E5A2A">
        <w:rPr>
          <w:rFonts w:ascii="Arial" w:eastAsia="Times New Roman" w:hAnsi="Arial" w:cs="Arial"/>
          <w:sz w:val="18"/>
          <w:szCs w:val="18"/>
        </w:rPr>
        <w:t>For opacity, record all times in minutes. For gases, record all times in hours.</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vertAlign w:val="superscript"/>
        </w:rPr>
        <w:t>2</w:t>
      </w:r>
      <w:r w:rsidRPr="005E5A2A">
        <w:rPr>
          <w:rFonts w:ascii="Arial" w:eastAsia="Times New Roman" w:hAnsi="Arial" w:cs="Arial"/>
          <w:sz w:val="18"/>
          <w:szCs w:val="18"/>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r w:rsidRPr="005E5A2A">
        <w:rPr>
          <w:rFonts w:ascii="Arial" w:eastAsia="Times New Roman" w:hAnsi="Arial" w:cs="Arial"/>
          <w:sz w:val="18"/>
          <w:szCs w:val="18"/>
        </w:rPr>
        <w:t>On a separate page, describe any changes since last quarter in CMS, process or controls. I certify that the information contained in this report is true, accurate, and complete.</w:t>
      </w:r>
    </w:p>
    <w:p w:rsidR="005E5A2A" w:rsidRPr="005E5A2A" w:rsidRDefault="005E5A2A" w:rsidP="005E5A2A">
      <w:pPr>
        <w:spacing w:after="0" w:line="240" w:lineRule="auto"/>
        <w:rPr>
          <w:rFonts w:ascii="Arial" w:eastAsia="Times New Roman" w:hAnsi="Arial" w:cs="Arial"/>
          <w:sz w:val="18"/>
          <w:szCs w:val="18"/>
        </w:rPr>
      </w:pPr>
      <w:r w:rsidRPr="005E5A2A">
        <w:rPr>
          <w:rFonts w:ascii="Arial" w:eastAsia="Times New Roman" w:hAnsi="Arial" w:cs="Arial"/>
          <w:sz w:val="18"/>
          <w:szCs w:val="18"/>
          <w:shd w:val="clear" w:color="auto" w:fill="FFFFFF"/>
        </w:rPr>
        <w:t> </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Name</w:t>
      </w:r>
    </w:p>
    <w:p w:rsidR="005E5A2A" w:rsidRPr="005E5A2A" w:rsidRDefault="005E5A2A" w:rsidP="005E5A2A">
      <w:pPr>
        <w:spacing w:after="0" w:line="240" w:lineRule="auto"/>
        <w:rPr>
          <w:rFonts w:ascii="Arial" w:eastAsia="Times New Roman" w:hAnsi="Arial" w:cs="Arial"/>
          <w:sz w:val="18"/>
          <w:szCs w:val="18"/>
        </w:rPr>
      </w:pPr>
      <w:r w:rsidRPr="005E5A2A">
        <w:rPr>
          <w:rFonts w:ascii="Arial" w:eastAsia="Times New Roman" w:hAnsi="Arial" w:cs="Arial"/>
          <w:sz w:val="18"/>
          <w:szCs w:val="18"/>
          <w:shd w:val="clear" w:color="auto" w:fill="FFFFFF"/>
        </w:rPr>
        <w:t> </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Signature</w:t>
      </w:r>
    </w:p>
    <w:p w:rsidR="005E5A2A" w:rsidRPr="005E5A2A" w:rsidRDefault="005E5A2A" w:rsidP="005E5A2A">
      <w:pPr>
        <w:spacing w:after="0" w:line="240" w:lineRule="auto"/>
        <w:rPr>
          <w:rFonts w:ascii="Arial" w:eastAsia="Times New Roman" w:hAnsi="Arial" w:cs="Arial"/>
          <w:sz w:val="18"/>
          <w:szCs w:val="18"/>
        </w:rPr>
      </w:pPr>
      <w:r w:rsidRPr="005E5A2A">
        <w:rPr>
          <w:rFonts w:ascii="Arial" w:eastAsia="Times New Roman" w:hAnsi="Arial" w:cs="Arial"/>
          <w:sz w:val="18"/>
          <w:szCs w:val="18"/>
          <w:shd w:val="clear" w:color="auto" w:fill="FFFFFF"/>
        </w:rPr>
        <w:t> </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Title</w:t>
      </w:r>
    </w:p>
    <w:p w:rsidR="005E5A2A" w:rsidRPr="005E5A2A" w:rsidRDefault="005E5A2A" w:rsidP="005E5A2A">
      <w:pPr>
        <w:spacing w:after="0" w:line="240" w:lineRule="auto"/>
        <w:rPr>
          <w:rFonts w:ascii="Arial" w:eastAsia="Times New Roman" w:hAnsi="Arial" w:cs="Arial"/>
          <w:sz w:val="18"/>
          <w:szCs w:val="18"/>
        </w:rPr>
      </w:pPr>
      <w:r w:rsidRPr="005E5A2A">
        <w:rPr>
          <w:rFonts w:ascii="Arial" w:eastAsia="Times New Roman" w:hAnsi="Arial" w:cs="Arial"/>
          <w:sz w:val="18"/>
          <w:szCs w:val="18"/>
          <w:shd w:val="clear" w:color="auto" w:fill="FFFFFF"/>
        </w:rPr>
        <w:t> </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Date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 xml:space="preserve">(ii) The owner or operator continues to comply with all recordkeeping and monitoring requirements specified in this subpart and the applicable standard; and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(iii) The Administrator does not object to a reduced frequency of reporting for the affected facility, as provided in paragraph (e)(2) of this section.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(h) Individual subparts of this part may include specific provisions which clarify or make inapplicable the provisions set forth in this section.</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37"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17" name="Picture 17"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9" w:name="40:7.0.1.1.1.1.151.8"/>
      <w:bookmarkEnd w:id="9"/>
      <w:r w:rsidRPr="005E5A2A">
        <w:rPr>
          <w:rFonts w:ascii="Arial" w:eastAsia="Times New Roman" w:hAnsi="Arial" w:cs="Arial"/>
          <w:b/>
          <w:bCs/>
          <w:sz w:val="20"/>
          <w:szCs w:val="20"/>
        </w:rPr>
        <w:t>§60.8   Performance tests.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w:t>
      </w:r>
      <w:r w:rsidRPr="005E5A2A">
        <w:rPr>
          <w:rFonts w:ascii="Arial" w:eastAsia="Times New Roman" w:hAnsi="Arial" w:cs="Arial"/>
          <w:sz w:val="20"/>
          <w:szCs w:val="20"/>
        </w:rPr>
        <w:lastRenderedPageBreak/>
        <w:t xml:space="preserve">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(e) The owner or operator of an affected facility shall provide, or cause to be provided, performance testing facilities as follows: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Safe sampling platform(s).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Safe access to sampling platform(s).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Utilities for sampling and testing equipment.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w:t>
      </w:r>
      <w:r w:rsidRPr="005E5A2A">
        <w:rPr>
          <w:rFonts w:ascii="Arial" w:eastAsia="Times New Roman" w:hAnsi="Arial" w:cs="Arial"/>
          <w:sz w:val="20"/>
          <w:szCs w:val="20"/>
        </w:rPr>
        <w:lastRenderedPageBreak/>
        <w:t>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5E5A2A">
        <w:rPr>
          <w:rFonts w:ascii="Arial" w:eastAsia="Times New Roman" w:hAnsi="Arial" w:cs="Arial"/>
          <w:i/>
          <w:iCs/>
          <w:sz w:val="20"/>
          <w:szCs w:val="20"/>
        </w:rPr>
        <w:t>www.epa.gov/ttn/emc,</w:t>
      </w:r>
      <w:r w:rsidRPr="005E5A2A">
        <w:rPr>
          <w:rFonts w:ascii="Arial" w:eastAsia="Times New Roman" w:hAnsi="Arial" w:cs="Arial"/>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Preparing the sample;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Confirming the true concentration of the sample;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(iv) Providing the opportunity for the compliance authority to comment on the selected concentration level for an audit sample;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 Distributing the sample to the user in a manner that guarantees that the true value of the sample is unknown to the user;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(vi) Recording the measured concentration reported by the user and determining if the measured value is within acceptable limits;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(viii) Evaluating the acceptance limits of samples at least once every two years to determine in cooperation with the voluntary consensus standard body if they should be changed;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Checking audit samples to confirm their true value as reported by the AASP;</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Performing technical systems audits of the AASP's facilities and operating procedures at least once every two years;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(iii) Providing standards for use by the voluntary consensus standard body to approve the accrediting body that will accredit the audit sample providers.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5E5A2A">
        <w:rPr>
          <w:rFonts w:ascii="Arial" w:eastAsia="Times New Roman" w:hAnsi="Arial" w:cs="Arial"/>
          <w:i/>
          <w:iCs/>
          <w:sz w:val="20"/>
          <w:szCs w:val="20"/>
        </w:rPr>
        <w:t>http://standards.gov/standards_gov/a119.cfm.</w:t>
      </w:r>
      <w:r w:rsidRPr="005E5A2A">
        <w:rPr>
          <w:rFonts w:ascii="Arial" w:eastAsia="Times New Roman" w:hAnsi="Arial" w:cs="Arial"/>
          <w:sz w:val="20"/>
          <w:szCs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5E5A2A">
        <w:rPr>
          <w:rFonts w:ascii="Arial" w:eastAsia="Times New Roman" w:hAnsi="Arial" w:cs="Arial"/>
          <w:i/>
          <w:iCs/>
          <w:sz w:val="20"/>
          <w:szCs w:val="20"/>
        </w:rPr>
        <w:t>http://www.epa.gov/ttn/emc.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38"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16" name="Picture 16"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10" w:name="40:7.0.1.1.1.1.151.9"/>
      <w:bookmarkEnd w:id="10"/>
      <w:r w:rsidRPr="005E5A2A">
        <w:rPr>
          <w:rFonts w:ascii="Arial" w:eastAsia="Times New Roman" w:hAnsi="Arial" w:cs="Arial"/>
          <w:b/>
          <w:bCs/>
          <w:sz w:val="20"/>
          <w:szCs w:val="20"/>
        </w:rPr>
        <w:t>§60.9   Availability of information.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39"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15" name="Picture 15"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11" w:name="40:7.0.1.1.1.1.151.10"/>
      <w:bookmarkEnd w:id="11"/>
      <w:r w:rsidRPr="005E5A2A">
        <w:rPr>
          <w:rFonts w:ascii="Arial" w:eastAsia="Times New Roman" w:hAnsi="Arial" w:cs="Arial"/>
          <w:b/>
          <w:bCs/>
          <w:sz w:val="20"/>
          <w:szCs w:val="20"/>
        </w:rPr>
        <w:t>§60.10   State authority.</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The provisions of this part shall not be construed in any manner to preclude any State or political subdivision thereof from: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(a) Adopting and enforcing any emission standard or limitation applicable to an affected facility, provided that such emission standard or limitation is not less stringent than the standard applicable to such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(b) Requiring the owner or operator of an affected facility to obtain permits, licenses, or approvals prior to initiating construction, modification, or operation of such facility.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40"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14" name="Picture 14"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12" w:name="40:7.0.1.1.1.1.151.11"/>
      <w:bookmarkEnd w:id="12"/>
      <w:r w:rsidRPr="005E5A2A">
        <w:rPr>
          <w:rFonts w:ascii="Arial" w:eastAsia="Times New Roman" w:hAnsi="Arial" w:cs="Arial"/>
          <w:b/>
          <w:bCs/>
          <w:sz w:val="20"/>
          <w:szCs w:val="20"/>
        </w:rPr>
        <w:t>§60.11   Compliance with standards and maintenance requirements.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(a) Compliance with standards in this part, other than opacity standards, shall be determined in accordance with performance tests established by §60.8, unless otherwise specified in the applicable standard.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(c) The opacity standards set forth in this part shall apply at all times except during periods of startup, shutdown, malfunction, and as otherwise provided in the applicable standard.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Except as provided in paragraph (e)(3) of this section, the owner or operator of an affected facility to which an opacity standard in this part applies shall conduct opacity observations in accordance </w:t>
      </w:r>
      <w:r w:rsidRPr="005E5A2A">
        <w:rPr>
          <w:rFonts w:ascii="Arial" w:eastAsia="Times New Roman" w:hAnsi="Arial" w:cs="Arial"/>
          <w:sz w:val="20"/>
          <w:szCs w:val="20"/>
        </w:rPr>
        <w:lastRenderedPageBreak/>
        <w:t xml:space="preserve">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w:t>
      </w:r>
      <w:r w:rsidRPr="005E5A2A">
        <w:rPr>
          <w:rFonts w:ascii="Arial" w:eastAsia="Times New Roman" w:hAnsi="Arial" w:cs="Arial"/>
          <w:sz w:val="20"/>
          <w:szCs w:val="20"/>
        </w:rPr>
        <w:lastRenderedPageBreak/>
        <w:t xml:space="preserve">associated air pollution control equipment were incapable of being adjusted or operated to meet the applicable opacity standard.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5E5A2A">
        <w:rPr>
          <w:rFonts w:ascii="Arial" w:eastAsia="Times New Roman" w:hAnsi="Arial" w:cs="Arial"/>
          <w:smallCaps/>
          <w:sz w:val="20"/>
          <w:szCs w:val="20"/>
        </w:rPr>
        <w:t>Federal Register.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(f) Special provisions set forth under an applicable subpart shall supersede any conflicting provisions in paragraphs (a) through (e)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41"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13" name="Picture 13"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13" w:name="40:7.0.1.1.1.1.151.12"/>
      <w:bookmarkEnd w:id="13"/>
      <w:r w:rsidRPr="005E5A2A">
        <w:rPr>
          <w:rFonts w:ascii="Arial" w:eastAsia="Times New Roman" w:hAnsi="Arial" w:cs="Arial"/>
          <w:b/>
          <w:bCs/>
          <w:sz w:val="20"/>
          <w:szCs w:val="20"/>
        </w:rPr>
        <w:t>§60.12   Circumvention.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 xml:space="preserve">[39 FR 9314, Mar. 8, 1974]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42"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12" name="Picture 12"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14" w:name="40:7.0.1.1.1.1.151.13"/>
      <w:bookmarkEnd w:id="14"/>
      <w:r w:rsidRPr="005E5A2A">
        <w:rPr>
          <w:rFonts w:ascii="Arial" w:eastAsia="Times New Roman" w:hAnsi="Arial" w:cs="Arial"/>
          <w:b/>
          <w:bCs/>
          <w:sz w:val="20"/>
          <w:szCs w:val="20"/>
        </w:rPr>
        <w:t>§60.13   Monitoring requirements.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w:t>
      </w:r>
      <w:r w:rsidRPr="005E5A2A">
        <w:rPr>
          <w:rFonts w:ascii="Arial" w:eastAsia="Times New Roman" w:hAnsi="Arial" w:cs="Arial"/>
          <w:sz w:val="20"/>
          <w:szCs w:val="20"/>
        </w:rPr>
        <w:lastRenderedPageBreak/>
        <w:t xml:space="preserve">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(f) All continuous monitoring systems or monitoring devices shall be installed such that representative measurements of emissions or process parameters from the affected facility are obtained. </w:t>
      </w:r>
      <w:r w:rsidRPr="005E5A2A">
        <w:rPr>
          <w:rFonts w:ascii="Arial" w:eastAsia="Times New Roman" w:hAnsi="Arial" w:cs="Arial"/>
          <w:sz w:val="20"/>
          <w:szCs w:val="20"/>
        </w:rPr>
        <w:lastRenderedPageBreak/>
        <w:t xml:space="preserve">Additional procedures for location of continuous monitoring systems contained in the applicable Performance Specifications of appendix B of this part shall be used.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 Except as provided under paragraph (h)(2)(iii) of this section, for a full operating hour (any clock hour with 60 minutes of unit operation), at least four valid data points are required to calculate the hourly average, </w:t>
      </w:r>
      <w:r w:rsidRPr="005E5A2A">
        <w:rPr>
          <w:rFonts w:ascii="Arial" w:eastAsia="Times New Roman" w:hAnsi="Arial" w:cs="Arial"/>
          <w:i/>
          <w:iCs/>
          <w:sz w:val="20"/>
          <w:szCs w:val="20"/>
        </w:rPr>
        <w:t>i.e.</w:t>
      </w:r>
      <w:r w:rsidRPr="005E5A2A">
        <w:rPr>
          <w:rFonts w:ascii="Arial" w:eastAsia="Times New Roman" w:hAnsi="Arial" w:cs="Arial"/>
          <w:sz w:val="20"/>
          <w:szCs w:val="20"/>
        </w:rPr>
        <w:t>, one data point in each of the 15-minute quadrants of the hour.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(iii) For any operating hour in which required maintenance or quality-assurance activities are performed: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(A) If the unit operates in two or more quadrants of the hour, a minimum of two valid data points, separated by at least 15 minutes, is required to calculate the hourly average; or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(B) If the unit operates in only one quadrant of the hour, at least one valid data point is required to calculate the hourly average.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 For each full or partial operating hour, all valid data points shall be used to calculate the hourly average.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(vii) Owners and operators complying with the requirements of §60.7(f)(1) or (2) must include any data recorded during periods of monitor breakdown or malfunction in the data averages.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(viii) When specified in an applicable subpart, hourly averages for certain partial operating hours shall not be computed or included in the emission averages (e.g., hours with 30 minutes of unit operation under §60.47b(d)).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(ix) Either arithmetic or integrated averaging of all data may be used to calculate the hourly averages. The data may be recorded in reduced or nonreduced form (e.g., ppm pollutant and percent O</w:t>
      </w:r>
      <w:r w:rsidRPr="005E5A2A">
        <w:rPr>
          <w:rFonts w:ascii="Arial" w:eastAsia="Times New Roman" w:hAnsi="Arial" w:cs="Arial"/>
          <w:sz w:val="14"/>
          <w:szCs w:val="14"/>
          <w:vertAlign w:val="subscript"/>
        </w:rPr>
        <w:t>2</w:t>
      </w:r>
      <w:r w:rsidRPr="005E5A2A">
        <w:rPr>
          <w:rFonts w:ascii="Arial" w:eastAsia="Times New Roman" w:hAnsi="Arial" w:cs="Arial"/>
          <w:sz w:val="20"/>
          <w:szCs w:val="20"/>
        </w:rPr>
        <w:t xml:space="preserve"> or ng/J of pollutant).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 After receipt and consideration of written application, the Administrator may approve alternatives to any monitoring procedures or requirements of this part including, but not limited to the following: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Alternative monitoring requirements when the affected facility is infrequently operated.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Alternative monitoring requirements to accommodate continuous monitoring systems that require additional measurements to correct for stack moisture conditions.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(5) Alternative methods of converting pollutant concentration measurements to units of the standards.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(6) Alternative procedures for performing daily checks of zero and span drift that do not involve use of span gases or test cells.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(7) Alternatives to the A.S.T.M. test methods or sampling procedures specified by any subpart.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(9) Alternative monitoring requirements when the effluent from a single affected facility or the combined effluent from two or more affected facilities is released to the atmosphere through more than one point.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(j) An alternative to the relative accuracy (RA) test specified in Performance Specification 2 of appendix B may be requested as follows: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79 FR 11242, Feb. 27, 2014] </w:t>
      </w:r>
    </w:p>
    <w:p w:rsidR="005E5A2A" w:rsidRPr="005E5A2A" w:rsidRDefault="005E5A2A" w:rsidP="005E5A2A">
      <w:pPr>
        <w:spacing w:before="200" w:after="100" w:afterAutospacing="1" w:line="240" w:lineRule="auto"/>
        <w:ind w:firstLine="480"/>
        <w:rPr>
          <w:rFonts w:ascii="Arial" w:eastAsia="Times New Roman" w:hAnsi="Arial" w:cs="Arial"/>
          <w:sz w:val="18"/>
          <w:szCs w:val="18"/>
        </w:rPr>
      </w:pPr>
      <w:r w:rsidRPr="005E5A2A">
        <w:rPr>
          <w:rFonts w:ascii="Arial" w:eastAsia="Times New Roman" w:hAnsi="Arial" w:cs="Arial"/>
          <w:smallCaps/>
          <w:sz w:val="18"/>
          <w:szCs w:val="18"/>
        </w:rPr>
        <w:t>Editorial Note:</w:t>
      </w:r>
      <w:r w:rsidRPr="005E5A2A">
        <w:rPr>
          <w:rFonts w:ascii="Arial" w:eastAsia="Times New Roman" w:hAnsi="Arial" w:cs="Arial"/>
          <w:sz w:val="18"/>
          <w:szCs w:val="18"/>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appear in the sixth sentence of paragraph (h).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43"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11" name="Picture 11"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15" w:name="40:7.0.1.1.1.1.151.14"/>
      <w:bookmarkEnd w:id="15"/>
      <w:r w:rsidRPr="005E5A2A">
        <w:rPr>
          <w:rFonts w:ascii="Arial" w:eastAsia="Times New Roman" w:hAnsi="Arial" w:cs="Arial"/>
          <w:b/>
          <w:bCs/>
          <w:sz w:val="20"/>
          <w:szCs w:val="20"/>
        </w:rPr>
        <w:t>§60.14   Modification.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 xml:space="preserve">(b) Emission rate shall be expressed as kg/hr of any pollutant discharged into the atmosphere for which a standard is applicable. The Administrator shall use the following to determine emission rate: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(d) [Reserved]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(e) The following shall not, by themselves, be considered modifications under this part: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Maintenance, repair, and replacement which the Administrator determines to be routine for a source category, subject to the provisions of paragraph (c) of this section and §60.15.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An increase in production rate of an existing facility, if that increase can be accomplished without a capital expenditure on that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An increase in the hours of operation.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(6) The relocation or change in ownership of an existing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 xml:space="preserve">(f) Special provisions set forth under an applicable subpart of this part shall supersede any conflicting provisions of this section.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(g) Within 180 days of the completion of any physical or operational change subject to the control measures specified in paragraph (a) of this section, compliance with all applicable standards must be achieved.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This exemption shall not apply to any new unit that: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 Is designated as a replacement for an existing unit;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(ii) Qualifies under section 409(b) of the Clean Air Act for an extension of an emission limitation compliance date under section 405 of the Clean Air Act; and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(iii) Is located at a different site than the existing unit.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(k) The installation, operation, cessation, or removal of a temporary clean coal technology demonstration project is exempt from the requirements of this section. A </w:t>
      </w:r>
      <w:r w:rsidRPr="005E5A2A">
        <w:rPr>
          <w:rFonts w:ascii="Arial" w:eastAsia="Times New Roman" w:hAnsi="Arial" w:cs="Arial"/>
          <w:i/>
          <w:iCs/>
          <w:sz w:val="20"/>
          <w:szCs w:val="20"/>
        </w:rPr>
        <w:t>temporary clean coal control technology demonstration project,</w:t>
      </w:r>
      <w:r w:rsidRPr="005E5A2A">
        <w:rPr>
          <w:rFonts w:ascii="Arial" w:eastAsia="Times New Roman" w:hAnsi="Arial" w:cs="Arial"/>
          <w:sz w:val="20"/>
          <w:szCs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(l) The reactivation of a very clean coal-fired electric utility steam generating unit is exempt from the requirements of this section.</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[40 FR 58419, Dec. 16, 1975, as amended at 43 FR 34347, Aug. 3, 1978; 45 FR 5617, Jan. 23, 1980; 57 FR 32339, July 21, 1992; 65 FR 61750, Oct. 17, 2000]</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44"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10" name="Picture 10"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16" w:name="40:7.0.1.1.1.1.151.15"/>
      <w:bookmarkEnd w:id="16"/>
      <w:r w:rsidRPr="005E5A2A">
        <w:rPr>
          <w:rFonts w:ascii="Arial" w:eastAsia="Times New Roman" w:hAnsi="Arial" w:cs="Arial"/>
          <w:b/>
          <w:bCs/>
          <w:sz w:val="20"/>
          <w:szCs w:val="20"/>
        </w:rPr>
        <w:t>§60.15   Reconstruction.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(a) An existing facility, upon reconstruction, becomes an affected facility, irrespective of any change in emission rate.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 xml:space="preserve">(b) “Reconstruction” means the replacement of components of an existing facility to such an extent that: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The fixed capital cost of the new components exceeds 50 percent of the fixed capital cost that would be required to construct a comparable entirely new facility, and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It is technologically and economically feasible to meet the applicable standards set forth in this part.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(c) “Fixed capital cost” means the capital needed to provide all the depreciable components.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Name and address of the owner or operator.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The location of the existing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A brief description of the existing facility and the components which are to be replaced.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A description of the existing air pollution control equipment and the proposed air pollution control equipment.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(5) An estimate of the fixed capital cost of the replacements and of constructing a comparable entirely new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(6) The estimated life of the existing facility after the replacements.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(7) A discussion of any economic or technical limitations the facility may have in complying with the applicable standards of performance after the proposed replacements.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(f) The Administrator's determination under paragraph (e) shall be based 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The fixed capital cost of the replacements in comparison to the fixed capital cost that would be required to construct a comparable entirely new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The estimated life of the facility after the replacements compared to the life of a comparable entirely new facility;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The extent to which the components being replaced cause or contribute to the emissions from the facility; and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Any economic or technical limitations on compliance with applicable standards of performance which are inherent in the proposed replacements.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 xml:space="preserve">(g) Individual subparts of this part may include specific provisions which refine and delimit the concept of reconstruction set forth in this section. </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[40 FR 58420, Dec. 16, 1975]</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45"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9" name="Picture 9"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17" w:name="40:7.0.1.1.1.1.151.16"/>
      <w:bookmarkEnd w:id="17"/>
      <w:r w:rsidRPr="005E5A2A">
        <w:rPr>
          <w:rFonts w:ascii="Arial" w:eastAsia="Times New Roman" w:hAnsi="Arial" w:cs="Arial"/>
          <w:b/>
          <w:bCs/>
          <w:sz w:val="20"/>
          <w:szCs w:val="20"/>
        </w:rPr>
        <w:t>§60.16   Priority list.</w:t>
      </w:r>
    </w:p>
    <w:p w:rsidR="005E5A2A" w:rsidRPr="005E5A2A" w:rsidRDefault="005E5A2A" w:rsidP="005E5A2A">
      <w:pPr>
        <w:spacing w:before="100" w:beforeAutospacing="1" w:after="100" w:afterAutospacing="1" w:line="240" w:lineRule="auto"/>
        <w:ind w:firstLine="480"/>
        <w:rPr>
          <w:rFonts w:ascii="Arial" w:eastAsia="Times New Roman" w:hAnsi="Arial" w:cs="Arial"/>
          <w:b/>
          <w:bCs/>
          <w:smallCaps/>
          <w:sz w:val="20"/>
          <w:szCs w:val="20"/>
        </w:rPr>
      </w:pPr>
      <w:r w:rsidRPr="005E5A2A">
        <w:rPr>
          <w:rFonts w:ascii="Arial" w:eastAsia="Times New Roman" w:hAnsi="Arial" w:cs="Arial"/>
          <w:b/>
          <w:bCs/>
          <w:smallCaps/>
          <w:sz w:val="20"/>
          <w:szCs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39"/>
        <w:gridCol w:w="8005"/>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i/>
                <w:iCs/>
                <w:sz w:val="20"/>
                <w:szCs w:val="20"/>
              </w:rPr>
              <w:t>Priority Number</w:t>
            </w:r>
            <w:r w:rsidRPr="005E5A2A">
              <w:rPr>
                <w:rFonts w:ascii="Arial" w:eastAsia="Times New Roman" w:hAnsi="Arial" w:cs="Arial"/>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i/>
                <w:iCs/>
                <w:sz w:val="20"/>
                <w:szCs w:val="20"/>
              </w:rPr>
              <w:t>Source Category</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Synthetic Organic Chemical Manufacturing Industry (SOCMI) and Volatile Organic Liquid Storage Vessels and Handling Equipment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(a) SOCMI unit processes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(b) Volatile organic liquid (VOL) storage vessels and handling equipment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(c) SOCMI fugitive sources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(d) SOCMI secondary sources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Cans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Refineries: Fugitive Sources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Paper</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Dry Cleaning</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 Perchloroethylene</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 Petroleum solvent</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Graphic Arts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Polymers and Resins: Acrylic Resins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Mineral Wool (Deleted)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Internal Combustion Engines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Fabric</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Industrial-Commercial-Institutional Steam Generating Units.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Incineration: Non-Municipal (Deleted)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Non-Metallic Mineral Processing</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Metallic Mineral Processing</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Copper (Deleted)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Phosphate Rock Preparation</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Foundries: Steel and Gray Iron</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Polymers and Resins: Polyethylene</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19.</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Charcoal Production</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Rubber</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 Tire manufacture</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 SBR production</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Vegetable Oil</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Metal Coil</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Petroleum Transportation and Marketing</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By-Product Coke Ovens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Synthetic Fibers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Plywood Manufacture</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Automobiles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Large Appliances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Crude Oil and Natural Gas Production</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Aluminum</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Potash (Deleted)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Lightweight Aggregate Industry: Clay, Shale, and Slate</w:t>
            </w:r>
            <w:r w:rsidRPr="005E5A2A">
              <w:rPr>
                <w:rFonts w:ascii="Arial" w:eastAsia="Times New Roman" w:hAnsi="Arial" w:cs="Arial"/>
                <w:sz w:val="20"/>
                <w:szCs w:val="20"/>
                <w:vertAlign w:val="superscript"/>
              </w:rPr>
              <w:t>2</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Glass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Gypsum</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Sodium Carbonate</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Secondary Zinc (Deleted)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Polymers and Resins: Phenolic</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Polymers and Resins: Urea-Melamine</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Ammonia (Deleted)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Polymers and Resins: Polystyrene</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Polymers and Resins: ABS-SAN Resins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Fiberglass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Polymers and Resins: Polypropylene</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Textile Processing</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Asphalt Processing and Asphalt Roofing Manufacture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Brick and Related Clay Products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Ceramic Clay Manufacturing (Deleted)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Nitrate Fertilizer</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Castable Refractories (Deleted)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Borax and Boric Acid (Deleted)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lastRenderedPageBreak/>
              <w:t>51.</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Polymers and Resins: Polyester Resins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Ammonium Sulfate</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Starch</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Perlite</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Phosphoric Acid: Thermal Process (Deleted)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Uranium Refining</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Animal Feed Defluorination (Deleted)</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Urea (for fertilizer and polymers)</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Detergent (Deleted)</w:t>
            </w:r>
          </w:p>
        </w:tc>
      </w:tr>
      <w:tr w:rsidR="005E5A2A" w:rsidRPr="005E5A2A" w:rsidTr="005E5A2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i/>
                <w:iCs/>
                <w:sz w:val="20"/>
                <w:szCs w:val="20"/>
              </w:rPr>
              <w:t>Other Source Categories</w:t>
            </w:r>
          </w:p>
        </w:tc>
      </w:tr>
      <w:tr w:rsidR="005E5A2A" w:rsidRPr="005E5A2A" w:rsidTr="005E5A2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Lead acid battery manufacture</w:t>
            </w:r>
            <w:r w:rsidRPr="005E5A2A">
              <w:rPr>
                <w:rFonts w:ascii="Arial" w:eastAsia="Times New Roman" w:hAnsi="Arial" w:cs="Arial"/>
                <w:sz w:val="20"/>
                <w:szCs w:val="20"/>
                <w:vertAlign w:val="superscript"/>
              </w:rPr>
              <w:t>3</w:t>
            </w:r>
          </w:p>
        </w:tc>
      </w:tr>
      <w:tr w:rsidR="005E5A2A" w:rsidRPr="005E5A2A" w:rsidTr="005E5A2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Organic solvent cleaning</w:t>
            </w:r>
            <w:r w:rsidRPr="005E5A2A">
              <w:rPr>
                <w:rFonts w:ascii="Arial" w:eastAsia="Times New Roman" w:hAnsi="Arial" w:cs="Arial"/>
                <w:sz w:val="20"/>
                <w:szCs w:val="20"/>
                <w:vertAlign w:val="superscript"/>
              </w:rPr>
              <w:t>3</w:t>
            </w:r>
          </w:p>
        </w:tc>
      </w:tr>
      <w:tr w:rsidR="005E5A2A" w:rsidRPr="005E5A2A" w:rsidTr="005E5A2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Industrial surface coating: metal furniture</w:t>
            </w:r>
            <w:r w:rsidRPr="005E5A2A">
              <w:rPr>
                <w:rFonts w:ascii="Arial" w:eastAsia="Times New Roman" w:hAnsi="Arial" w:cs="Arial"/>
                <w:sz w:val="20"/>
                <w:szCs w:val="20"/>
                <w:vertAlign w:val="superscript"/>
              </w:rPr>
              <w:t>3</w:t>
            </w:r>
          </w:p>
        </w:tc>
      </w:tr>
      <w:tr w:rsidR="005E5A2A" w:rsidRPr="005E5A2A" w:rsidTr="005E5A2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Stationary gas turbines</w:t>
            </w:r>
            <w:r w:rsidRPr="005E5A2A">
              <w:rPr>
                <w:rFonts w:ascii="Arial" w:eastAsia="Times New Roman" w:hAnsi="Arial" w:cs="Arial"/>
                <w:sz w:val="20"/>
                <w:szCs w:val="20"/>
                <w:vertAlign w:val="superscript"/>
              </w:rPr>
              <w:t>4</w:t>
            </w:r>
          </w:p>
        </w:tc>
      </w:tr>
      <w:tr w:rsidR="005E5A2A" w:rsidRPr="005E5A2A" w:rsidTr="005E5A2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Municipal solid waste landfills</w:t>
            </w:r>
            <w:r w:rsidRPr="005E5A2A">
              <w:rPr>
                <w:rFonts w:ascii="Arial" w:eastAsia="Times New Roman" w:hAnsi="Arial" w:cs="Arial"/>
                <w:sz w:val="20"/>
                <w:szCs w:val="20"/>
                <w:vertAlign w:val="superscript"/>
              </w:rPr>
              <w:t>4</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1</w:t>
      </w:r>
      <w:r w:rsidRPr="005E5A2A">
        <w:rPr>
          <w:rFonts w:ascii="Arial" w:eastAsia="Times New Roman" w:hAnsi="Arial" w:cs="Arial"/>
          <w:sz w:val="20"/>
          <w:szCs w:val="20"/>
        </w:rPr>
        <w:t>Low numbers have highest priority, e.g., No. 1 is high priority, No. 59 is low priority.</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2</w:t>
      </w:r>
      <w:r w:rsidRPr="005E5A2A">
        <w:rPr>
          <w:rFonts w:ascii="Arial" w:eastAsia="Times New Roman" w:hAnsi="Arial" w:cs="Arial"/>
          <w:sz w:val="20"/>
          <w:szCs w:val="20"/>
        </w:rPr>
        <w:t>Formerly titled “Sintering: Clay and Fly Ash”.</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3</w:t>
      </w:r>
      <w:r w:rsidRPr="005E5A2A">
        <w:rPr>
          <w:rFonts w:ascii="Arial" w:eastAsia="Times New Roman" w:hAnsi="Arial" w:cs="Arial"/>
          <w:sz w:val="20"/>
          <w:szCs w:val="20"/>
        </w:rPr>
        <w:t>Minor source category, but included on list since an NSPS is being developed for that source category.</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4</w:t>
      </w:r>
      <w:r w:rsidRPr="005E5A2A">
        <w:rPr>
          <w:rFonts w:ascii="Arial" w:eastAsia="Times New Roman" w:hAnsi="Arial" w:cs="Arial"/>
          <w:sz w:val="20"/>
          <w:szCs w:val="20"/>
        </w:rPr>
        <w:t>Not prioritized, since an NSPS for this major source category has already been promulgated.</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 xml:space="preserve">[47 FR 951, Jan. 8, 1982, as amended at 47 FR 31876, July 23, 1982; 51 FR 42796, Nov. 25, 1986; 52 FR 11428, Apr. 8, 1987; 61 FR 9919, Mar. 12, 1996]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46"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8" name="Picture 8"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18" w:name="40:7.0.1.1.1.1.151.17"/>
      <w:bookmarkEnd w:id="18"/>
      <w:r w:rsidRPr="005E5A2A">
        <w:rPr>
          <w:rFonts w:ascii="Arial" w:eastAsia="Times New Roman" w:hAnsi="Arial" w:cs="Arial"/>
          <w:b/>
          <w:bCs/>
          <w:sz w:val="20"/>
          <w:szCs w:val="20"/>
        </w:rPr>
        <w:t>§60.17   Incorporations by reference.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5E5A2A">
        <w:rPr>
          <w:rFonts w:ascii="Arial" w:eastAsia="Times New Roman" w:hAnsi="Arial" w:cs="Arial"/>
          <w:smallCaps/>
          <w:sz w:val="20"/>
          <w:szCs w:val="20"/>
        </w:rPr>
        <w:t>Federal Register</w:t>
      </w:r>
      <w:r w:rsidRPr="005E5A2A">
        <w:rPr>
          <w:rFonts w:ascii="Arial" w:eastAsia="Times New Roman" w:hAnsi="Arial" w:cs="Arial"/>
          <w:sz w:val="20"/>
          <w:szCs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 741-6030 or go to </w:t>
      </w:r>
      <w:r w:rsidRPr="005E5A2A">
        <w:rPr>
          <w:rFonts w:ascii="Arial" w:eastAsia="Times New Roman" w:hAnsi="Arial" w:cs="Arial"/>
          <w:i/>
          <w:iCs/>
          <w:sz w:val="20"/>
          <w:szCs w:val="20"/>
        </w:rPr>
        <w:t>http://www.archives.gov/federal_register/code_of_federal_regulations/ibr_locations.html.</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(b) American Gas Association, available through ILI Infodisk, 610 Winters Avenue, Paramus, New Jersey 07652: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American Gas Association Report No. 3: Orifice Metering for Natural Gas and Other Related Hydrocarbon Fluids, Part 1: General Equations and Uncertainty Guidelines (1990),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American Gas Association Report No. 3: Orifice Metering for Natural Gas and Other Related Hydrocarbon Fluids, Part 2: Specification and Installation Requirements (2000),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American Gas Association Report No. 11: Measurement of Natural Gas by Coriolis Meter (2003),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 American Gas Association Transmission Measurement Committee Report No. 7: Measurement of Gas by Turbine Meters (Revised February 2006),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[Reserved]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(d) American Petroleum Institute (API), 1220 L Street NW., Washington, DC 20005.</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API Publication 2517, Evaporation Loss from External Floating Roof Tanks, Second Edition, February 1980, IBR approved for §§60.111(i), 60.111a(f), and 60.116b(e).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API Manual of Petroleum Measurement Standards, Chapter 22—Testing Protocol, Section 2—Differential Pressure Flow Measurement Devices, First Edition, August 2005,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(e) American Public Health Association, 1015 18th Street NW., Washington, DC 20036.</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“Standard Methods for the Examination of Water and Wastewater,” 16th edition, 1985. Method 303F: “Determination of Mercury by the Cold Vapor Technique.” Incorporated by reference for appendix A-8 to part 60, Method 29, §§9.2.3, 10.3, and 11.1.3.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2540 G. Total, Fixed, and Volatile Solids in Solid and Semisolid Samples, in Standard Methods for the Examination of Water and Wastewater, 20th Edition, 1998, IBR approved for §60.154(b).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(f) The following material is available for purchase from the American Society of Mechanical Engineers (ASME), Two Park Avenue, New York, NY 10016-5990, Telephone (800) 843-2763, and is also available at the following Web site: </w:t>
      </w:r>
      <w:r w:rsidRPr="005E5A2A">
        <w:rPr>
          <w:rFonts w:ascii="Arial" w:eastAsia="Times New Roman" w:hAnsi="Arial" w:cs="Arial"/>
          <w:i/>
          <w:iCs/>
          <w:sz w:val="20"/>
          <w:szCs w:val="20"/>
        </w:rPr>
        <w:t>http://www.asme.org.</w:t>
      </w:r>
      <w:r w:rsidRPr="005E5A2A">
        <w:rPr>
          <w:rFonts w:ascii="Arial" w:eastAsia="Times New Roman" w:hAnsi="Arial" w:cs="Arial"/>
          <w:sz w:val="20"/>
          <w:szCs w:val="20"/>
        </w:rPr>
        <w:t xml:space="preserve">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ASME Interim Supplement 19.5 on Instruments and Apparatus: Application, Part II of Fluid Meters, 6th Edition (1971), IBR approved for §§60.58a(h), 60.58b(i), 60.1320(a), and 60.1810(a).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(2) ASME MFC-3M-2004, Measurement of Fluid Flow in Pipes Using Orifice, Nozzle, and Venturi,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ASME/ANSI MFC-4M-1986 (Reaffirmed 2008), Measurement of Gas Flow by Turbine Meters,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 ASME/ANSI MFC-5M-1985 (Reaffirmed 2006), Measurement of Liquid Flow in Closed Conduits Using Transit-Time Ultrasonic Flowmeters,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 ASME MFC-6M-1998 (Reaffirmed 2005), Measurement of Fluid Flow in Pipes Using Vortex Flowmeters,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 ASME/ANSI MFC-7M-1987 (Reaffirmed 2006), Measurement of Gas Flow by Means of Critical Flow Venturi Nozzles,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 ASME/ANSI MFC-9M-1988 (Reaffirmed 2006), Measurement of Liquid Flow in Closed Conduits by Weighing Method,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(8) ASME MFC-11M-2006, Measurement of Fluid Flow by Means of Coriolis Mass Flowmeters,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 ASME MFC-14M-2003, Measurement of Fluid Flow Using Small Bore Precision Orifice Meters,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(10) ASME MFC-16-2007, Measurement of Liquid Flow in Closed Conduits with Electromagnetic Flowmeters,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(11) ASME MFC-18M-2001, Measurement of Fluid Flow Using Variable Area Meters,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 ASME MFC-22-2007, Measurement of Liquid by Turbine Flowmeters,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(13) ASME PTC 4.1-1964 (Reaffirmed 1991), Power Test Codes: Test Code for Steam Generating Units (with 1968 and 1969 Addenda), IBR approved for §§60.46b, 60.58a(h), 60.58b(i), 60.1320(a), and 60.1810(a).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and 60.5413(b).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(15) ASME QRO-1-1994, Standard for the Qualification and Certification of Resource Recovery Facility Operators, IBR approved for §§60.54b(a) and (b), 60.56a, 60.1185(a) and (c), and 60.1675(a) and (c).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(g) American Society for Testing and Materials (ASTM), 100 Barr Harbor Drive, Post Office Box C700, West Conshohocken, PA 19428-2959; also available through ProQuest, 300 North Zeeb Road, Ann Arbor, MI 48106.</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ASTM A99-76, Standard Specification for Ferromanganese,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(2) ASTM A99-82 (Reapproved 1987), Standard Specification for Ferromanganese,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ASTM A100-69, Standard Specification for Ferrosilicon,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 ASTM A100-74, Standard Specification for Ferrosilicon,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 ASTM A100-93, Standard Specification for Ferrosilicon,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 ASTM A101-73, Standard Specification for Ferrochromium,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 ASTM A101-93, Standard Specification for Ferrochromium,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(8) ASTM A482-76, Standard Specification for Ferrochromesilicon,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 ASTM A482-93, Standard Specification for Ferrochromesilicon,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(10) ASTM A483-64, Standard Specification for Silicomanganese,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(11) ASTM A483-74 (Reapproved 1988), Standard Specification for Silicomanganese,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 ASTM A495-76, Standard Specification for Calcium-Silicon and Calcium Manganese-Silicon,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(13) ASTM A495-94, Standard Specification for Calcium-Silicon and Calcium Manganese-Silicon, IBR approved for §60.261.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 ASTM D86-78, Distillation of Petroleum Products, IBR approved for §§60.562-2(d), 60.593(d), 60.593a(d), 60.633(h).</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(15) ASTM D86-82, Distillation of Petroleum Products, IBR approved for §§60.562-2(d), 60.593(d), 60.593a(d), 60.633(h).</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(16) ASTM D86-90, Distillation of Petroleum Products, IBR approved for §§60.562-2(d), 60.593(d), 60.593a(d), 60.633(h).</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(17) ASTM D86-93, Distillation of Petroleum Products, IBR approved for §§60.562-2(d), 60.593(d), 60.593a(d), 60.633(h).</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(18) ASTM D86-95, Distillation of Petroleum Products, IBR approved for §§60.562-2(d), 60.593(d), 60.593a(d), 60.633(h).</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(19) ASTM D86-96, Distillation of Petroleum Products, (Approved April 10, 1996), IBR approved for §§60.562-2(d), 60.593(d), 60.593a(d), 60.633(h), and 60.5401(f).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(20) ASTM D129-64, Standard Test Method for Sulfur in Petroleum Products (General Bomb Method), IBR approved for §§60.106(j) and appendix A-7 to part 60: Method 19, Section 12.5.2.2.3.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(21) ASTM D129-78, Standard Test Method for Sulfur in Petroleum Products (General Bomb Method), IBR approved for §§60.106(j) and appendix A-7 to part 60: Method 19, Section 12.5.2.2.3.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(22) ASTM D129-95, Standard Test Method for Sulfur in Petroleum Products (General Bomb Method), IBR approved for §§60.106(j) and appendix A-7 to part 60: Method 19, Section 12.5.2.2.3.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(23) ASTM D129-00, Standard Test Method for Sulfur in Petroleum Products (General Bomb Method), IBR approved for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(24) ASTM D129-00 (Reapproved 2005), Standard Test Method for Sulfur in Petroleum Products (General Bomb Method), IBR approved for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(25) ASTM D240-76, Standard Test Method for Heat of Combustion of Liquid Hydrocarbon Fuels by Bomb Calorimeter, IBR approved for §§60.46(c), 60.296(b), and appendix A-7 to part 60: Method 19, Section 12.5.2.2.3.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(26) ASTM D240-92, Standard Test Method for Heat of Combustion of Liquid Hydrocarbon Fuels by Bomb Calorimeter, IBR approved for §§60.46(c), 60.296(b), and appendix A-7: Method 19, Section 12.5.2.2.3.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(27) ASTM D240-02 (Reapproved 2007), Standard Test Method for Heat of Combustion of Liquid Hydrocarbon Fuels by Bomb Calorimeter, (Approved May 1, 2007),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(28) ASTM D270-65, Standard Method of Sampling Petroleum and Petroleum Products, IBR approved for appendix A-7 to part 60: Method 19, Section 12.5.2.2.1.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(29) ASTM D270-75, Standard Method of Sampling Petroleum and Petroleum Products, IBR approved for appendix A-7 to part 60: Method 19, Section 12.5.2.2.1.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(30) ASTM D323-82, Test Method for Vapor Pressure of Petroleum Products (Reid Method), IBR approved for §§60.111(l), 60.111a(g), 60.111b, and 60.116b(f).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(31) ASTM D323-94, Test Method for Vapor Pressure of Petroleum Products (Reid Method), IBR approved for §§60.111(l), 60.111a(g), 60.111b, and 60.116b(f).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(32) ASTM D388-77, Standard Specification for Classification of Coals by Rank, IBR approved for §§60.41, 60.45(f), 60.41Da, 60.41b, 60.41c, and 60.251.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(33) ASTM D388-90, Standard Specification for Classification of Coals by Rank, IBR approved for §§60.41, 60.45(f), 60.41Da, 60.41b, 60.41c, and 60.251.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(34) ASTM D388-91, Standard Specification for Classification of Coals by Rank, IBR approved for §§60.41, 60.45(f), 60.41Da, 60.41b, 60.41c, and 60.251.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(35) ASTM D388-95, Standard Specification for Classification of Coals by Rank, IBR approved for §§60.41, 60.45(f), 60.41Da, 60.41b, 60.41c, and 60.251.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(36) ASTM D388-98a, Standard Specification for Classification of Coals by Rank, IBR approved for §§60.41, 60.45(f), 60.41Da, 60.41b, 60.41c, and 60.251.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(37) ASTM D388-99 (Reapproved 2004)</w:t>
      </w:r>
      <w:r w:rsidRPr="005E5A2A">
        <w:rPr>
          <w:rFonts w:ascii="Arial" w:eastAsia="Times New Roman" w:hAnsi="Arial" w:cs="Arial"/>
          <w:sz w:val="14"/>
          <w:szCs w:val="14"/>
          <w:vertAlign w:val="superscript"/>
        </w:rPr>
        <w:t>ε</w:t>
      </w:r>
      <w:r w:rsidRPr="005E5A2A">
        <w:rPr>
          <w:rFonts w:ascii="Arial" w:eastAsia="Times New Roman" w:hAnsi="Arial" w:cs="Arial"/>
          <w:sz w:val="20"/>
          <w:szCs w:val="20"/>
        </w:rPr>
        <w:t>,</w:t>
      </w:r>
      <w:r w:rsidRPr="005E5A2A">
        <w:rPr>
          <w:rFonts w:ascii="Arial" w:eastAsia="Times New Roman" w:hAnsi="Arial" w:cs="Arial"/>
          <w:sz w:val="14"/>
          <w:szCs w:val="14"/>
          <w:vertAlign w:val="superscript"/>
        </w:rPr>
        <w:t>1</w:t>
      </w:r>
      <w:r w:rsidRPr="005E5A2A">
        <w:rPr>
          <w:rFonts w:ascii="Arial" w:eastAsia="Times New Roman" w:hAnsi="Arial" w:cs="Arial"/>
          <w:sz w:val="20"/>
          <w:szCs w:val="20"/>
        </w:rPr>
        <w:t xml:space="preserve"> Standard Specification for Classification of Coals by Rank, IBR approved for §§60.41, 60.45(f), 60.41Da, 60.41b, 60.41c, and 60.251.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(38) ASTM D396-78, Standard Specification for Fuel Oils, IBR approved for §§60.41b, 60.41c, 60.111(b), and 60.111a(b).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(39) ASTM D396-89, Standard Specification for Fuel Oils, IBR approved for §§60.41b, 60.41c, 60.111(b), and 60.111a(b).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(40) ASTM D396-90, Standard Specification for Fuel Oils, IBR approved for §§60.41b, 60.41c, 60.111(b), and 60.111a(b).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(41) ASTM D396-92, Standard Specification for Fuel Oils, IBR approved for §§60.41b, 60.41c, 60.111(b), and 60.111a(b).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(42) ASTM D396-98, Standard Specification for Fuel Oils, IBR approved for §§60.41b, 60.41c, 60.111(b), and 60.111a(b).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(43) ASTM D975-78, Standard Specification for Diesel Fuel Oils, IBR approved for §§60.111(b) and 60.111a(b).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(44) ASTM D975-96, Standard Specification for Diesel Fuel Oils, IBR approved for §§60.111(b) and 60.111a(b).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(45) ASTM D975-98a, Standard Specification for Diesel Fuel Oils, IBR approved for §§60.111(b) and 60.111a(b).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(46) ASTM D975-08a, Standard Specification for Diesel Fuel Oils, IBR approved for §§60.41b and 60.41c.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(47) ASTM D1072-80, Standard Test Method for Total Sulfur in Fuel Gases, IBR approved for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(48) ASTM D1072-90 (Reapproved 1994), Standard Test Method for Total Sulfur in Fuel Gases, IBR approved for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(49) ASTM D1072-90 (Reapproved 1999), Standard Test Method for Total Sulfur in Fuel Gases, IBR approved for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(50) ASTM D1137-53, Standard Method for Analysis of Natural Gases and Related Types of Gaseous Mixtures by the Mass Spectrometer, IBR approved for §60.45(f).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(51) ASTM D1137-75, Standard Method for Analysis of Natural Gases and Related Types of Gaseous Mixtures by the Mass Spectrometer, IBR approved for §60.45(f).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(54) ASTM D1266-87, Standard Test Method for Sulfur in Petroleum Products (Lamp Method), IBR approved for §§60.106(j) and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(55) ASTM D1266-91, Standard Test Method for Sulfur in Petroleum Products (Lamp Method), IBR approved for §§60.106(j) and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(56) ASTM D1266-98, Standard Test Method for Sulfur in Petroleum Products (Lamp Method), IBR approved for §§60.106(j) and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(57) ASTM D1266-98 (Reapproved 2003)</w:t>
      </w:r>
      <w:r w:rsidRPr="005E5A2A">
        <w:rPr>
          <w:rFonts w:ascii="Arial" w:eastAsia="Times New Roman" w:hAnsi="Arial" w:cs="Arial"/>
          <w:sz w:val="14"/>
          <w:szCs w:val="14"/>
          <w:vertAlign w:val="superscript"/>
        </w:rPr>
        <w:t>ε</w:t>
      </w:r>
      <w:r w:rsidRPr="005E5A2A">
        <w:rPr>
          <w:rFonts w:ascii="Arial" w:eastAsia="Times New Roman" w:hAnsi="Arial" w:cs="Arial"/>
          <w:sz w:val="20"/>
          <w:szCs w:val="20"/>
        </w:rPr>
        <w:t>,</w:t>
      </w:r>
      <w:r w:rsidRPr="005E5A2A">
        <w:rPr>
          <w:rFonts w:ascii="Arial" w:eastAsia="Times New Roman" w:hAnsi="Arial" w:cs="Arial"/>
          <w:sz w:val="14"/>
          <w:szCs w:val="14"/>
          <w:vertAlign w:val="superscript"/>
        </w:rPr>
        <w:t>1</w:t>
      </w:r>
      <w:r w:rsidRPr="005E5A2A">
        <w:rPr>
          <w:rFonts w:ascii="Arial" w:eastAsia="Times New Roman" w:hAnsi="Arial" w:cs="Arial"/>
          <w:sz w:val="20"/>
          <w:szCs w:val="20"/>
        </w:rPr>
        <w:t xml:space="preserve"> Standard Test Method for Sulfur in Petroleum Products (Lamp Method), IBR approved for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(58) ASTM D1475-60 (Reapproved 1980), Standard Test Method for Density of Paint, Varnish Lacquer, and Related Products, IBR approved for §60.435(d), appendix A-8 to part 60: Method 24, Section 6.1; and Method 24A, Sections 6.5 and 7.1.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(59) ASTM D1475-90, Standard Test Method for Density of Paint, Varnish Lacquer, and Related Products, IBR approved for §60.435(d), appendix A-8 to part 60: Method 24, Section 6.1; and Method 24A, §§6.5 and 7.1.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(60) ASTM D1552-83, Standard Test Method for Sulfur in Petroleum Products (High-Temperature Method), IBR approved for §§60.106(j), 60.335(b), and appendix A-7 to part 60: Method 19, Section 12.5.2.2.3.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(61) ASTM D1552-95, Standard Test Method for Sulfur in Petroleum Products (High-Temperature Method), IBR approved for §§60.106(j), 60.335(b), and appendix A-7 to part 60: Method 19, Section 12.5.2.2.3.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(62) ASTM D1552-01, Standard Test Method for Sulfur in Petroleum Products (High-Temperature Method), IBR approved for §§60.106(j), 60.335(b), and appendix A-7 to part 60: Method 19, Section 12.5.2.2.3.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(63) ASTM D1552-03, Standard Test Method for Sulfur in Petroleum Products (High-Temperature Method), IBR approved for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(64) ASTM D1826-77, Standard Test Method for Calorific Value of Gases in Natural Gas Range by Continuous Recording Calorimeter, IBR approved for §§60.45(f), 60.46(c), 60.296(b), and appendix A-7 to part 60: Method 19, Section 12.3.2.4.</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(65) ASTM D1826-94, Standard Test Method for Calorific Value of Gases in Natural Gas Range by Continuous Recording Calorimeter, IBR approved for §§60.45(f), 60.46(c), 60.296(b), and appendix A-7 to part 60: Method 19, Section 12.3.2.4.</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(66) ASTM D1826-94 (Reapproved 2003), Standard Test Method for Calorific (Heating) Value of Gases in Natural Gas Range by Continuous Recording Calorimeter, (Approved May 10, 2003),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(67) ASTM D1835-87, Standard Specification for Liquefied Petroleum (LP) Gases, IBR approved for §§60.41Da, 60.41b, and 60.41c.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(68) ASTM D1835-91, Standard Specification for Liquefied Petroleum (LP) Gases, IBR approved for §§60.41Da, 60.41b, and 60.41c.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(69) ASTM D1835-97, Standard Specification for Liquefied Petroleum (LP) Gases, IBR approved for §§60.41Da, 60.41b, and 60.41c.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(70) ASTM D1835-03a, Standard Specification for Liquefied Petroleum (LP) Gases, IBR approved for §§60.41Da, 60.41b, and 60.41c.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(71) ASTM D1945-64, Standard Method for Analysis of Natural Gas by Gas Chromatography, IBR approved for §60.45(f).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(72) ASTM D1945-76, Standard Method for Analysis of Natural Gas by Gas Chromatography, IBR approved for §60.45(f).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(73) ASTM D1945-91, Standard Method for Analysis of Natural Gas by Gas Chromatography, IBR approved for §60.45(f).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(74) ASTM D1945-96, Standard Method for Analysis of Natural Gas by Gas Chromatography, IBR approved for §60.45(f).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(75) ASTM D1945-03 (Reapproved 2010), Standard Method for Analysis of Natural Gas by Gas Chromatography, (Approved January 1, 2010), IBR approved for §§60.107a(d) and 60.5413(d).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(76) ASTM D1946-77, Standard Method for Analysis of Reformed Gas by Gas Chromatography, IBR approved for §§60.18(f), 60.45(f), 60.564(f), 60.614(e), 60.664(e), and 60.704(d).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(77) ASTM D1946-90 (Reapproved 1994), Standard Method for Analysis of Reformed Gas by Gas Chromatography, IBR approved for §§60.18(f), 60.45(f), 60.564(f), 60.614(e), 60.664(e), and 60.704(d).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(78) ASTM D1946-90 (Reapproved 2006), Standard Method for Analysis of Reformed Gas by Gas Chromatography, (Approved June 1, 2006),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(79) ASTM D2013-72, Standard Method of Preparing Coal Samples for Analysis, IBR approved for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(80) ASTM D2013-86, Standard Method of Preparing Coal Samples for Analysis, IBR approved for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(81) ASTM D2015-77 (Reapproved 1978), Standard Test Method for Gross Calorific Value of Solid Fuel by the Adiabatic Bomb Calorimeter, IBR approved for §§60.45(f), 60.46(c), and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(82) ASTM D2015-96, Standard Test Method for Gross Calorific Value of Solid Fuel by the Adiabatic Bomb Calorimeter, IBR approved for §§60.45(f), 60.46(c), and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(83) ASTM D2016-74, Standard Test Methods for Moisture Content of Wood, IBR approved for appendix A-8 to part 60: Method 28, Section 16.1.1.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(84) ASTM D2016-83, Standard Test Methods for Moisture Content of Wood, IBR approved for appendix A-8 to part 60: Method 28, Section 16.1.1.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(85) ASTM D2234-76, Standard Methods for Collection of a Gross Sample of Coal, IBR approved for appendix A-7 to part 60: Method 19, Section 12.5.2.1.1.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(86) ASTM D2234-96, Standard Methods for Collection of a Gross Sample of Coal, IBR approved for appendix A-7 to part 60: Method 19, Section 12.5.2.1.1.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(87) ASTM D2234-97b, Standard Methods for Collection of a Gross Sample of Coal, IBR approved for appendix A-7 to part 60: Method 19, Section 12.5.2.1.1.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(88) ASTM D2234-98, Standard Methods for Collection of a Gross Sample of Coal, IBR approved for appendix A-7 to part 60: Method 19, Section 12.5.2.1.1.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(89) ASTM D2369-81, Standard Test Method for Volatile Content of Coatings, IBR approved for appendix A-8 to part 60: Method 24, Section 6.2.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(90) ASTM D2369-87, Standard Test Method for Volatile Content of Coatings, IBR approved for appendix A-8 to part 60: Method 24, Section 6.2.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(91) ASTM D2369-90, Standard Test Method for Volatile Content of Coatings, IBR approved for appendix A-8 to part 60: Method 24, Section 6.2.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(92) ASTM D2369-92, Standard Test Method for Volatile Content of Coatings, IBR approved for appendix A-8 to part 60: Method 24, Section 6.2.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(93) ASTM D2369-93, Standard Test Method for Volatile Content of Coatings, IBR approved for appendix A-8 to part 60: Method 24, Section 6.2.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(94) ASTM D2369-95, Standard Test Method for Volatile Content of Coatings, IBR approved for appendix A-8 to part 60: Method 24, Section 6.2.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(95) ASTM D2382-76, Heat of Combustion of Hydrocarbon Fuels by Bomb Calorimeter (High-Precision Method), IBR approved for §§60.18(f), 60.485(g), 60.485a(g), 60.564(f), 60.614(e), 60.664(e), and 60.704(d).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(96) ASTM D2382-88, Heat of Combustion of Hydrocarbon Fuels by Bomb Calorimeter (High-Precision Method), IBR approved for §§60.18(f), 60.485(g), 60.485a(g), 60.564(f), 60.614(e), 60.664(e), and 60.704(d).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(97) ASTM D2504-67, Noncondensable Gases in C3 and Lighter Hydrocarbon Products by Gas Chromatography, IBR approved for §§60.485(g) and 60.485a(g).</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(98) ASTM D2504-77, Noncondensable Gases in C3 and Lighter Hydrocarbon Products by Gas Chromatography, IBR approved for §§60.485(g) and 60.485a(g).</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(99) ASTM D2504-88 (Reapproved 1993), Noncondensable Gases in C3 and Lighter Hydrocarbon Products by Gas Chromatography, IBR approved for §§60.485(g) and 60.485a(g).</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(100) ASTM D2584-68(Reapproved 1985), Standard Test Method for Ignition Loss of Cured Reinforced Resins, IBR approved for §60.685(c).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(101) ASTM D2584-94, Standard Test Method for Ignition Loss of Cured Reinforced Resins, IBR approved for §60.685(c).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(102) ASTM D2597-94 (Reapproved 1999), Standard Test Method for Analysis of Demethanized Hydrocarbon Liquid Mixtures Containing Nitrogen and Carbon Dioxide by Gas Chromatography, IBR approved for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(103) ASTM D2622-87, Standard Test Method for Sulfur in Petroleum Products by Wavelength Dispersive X-Ray Fluorescence Spectrometry, IBR approved for §§60.106(j) and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(104) ASTM D2622-94, Standard Test Method for Sulfur in Petroleum Products by Wavelength Dispersive X-Ray Fluorescence Spectrometry, IBR approved for §§60.106(j) and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(105) ASTM D2622-98, Standard Test Method for Sulfur in Petroleum Products by Wavelength Dispersive X-Ray Fluorescence Spectrometry, IBR approved for §§60.106(j) and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(106) ASTM D2622-05, Standard Test Method for Sulfur in Petroleum Products by Wavelength Dispersive X-Ray Fluorescence Spectrometry, IBR approved for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(107) ASTM D2879-83Test Method for Vapor Pressure-Temperature Relationship and Initial Decomposition Temperature of Liquids by Isoteniscope, IBR approved for §§60.111b(f)(3), 60.116b(e), 60.116b(f), 60.485(e), and 60.485a(e).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(108) ASTM D2879-96, Test Method for Vapor Pressure-Temperature Relationship and Initial Decomposition Temperature of Liquids by Isoteniscope, IBR approved for §§60.111b(f)(3), 60.116b(e), 60.116b(f), 60.485(e), and 60.485a(e).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(109) ASTM D2879-97, Test Method for Vapor Pressure-Temperature Relationship and Initial Decomposition Temperature of Liquids by Isoteniscope, IBR approved for §§60.111b(f)(3), 60.116b(e), 60.116b(f), 60.485(e), and 60.485a(e).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(110) ASTM D2880-78, Standard Specification for Gas Turbine Fuel Oils, IBR approved for §§60.111(b), 60.111a(b), and 60.335(d).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(111) ASTM D2880-96, Standard Specification for Gas Turbine Fuel Oils, IBR approved for §§60.111(b), 60.111a(b), and 60.335(d).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(112) ASTM D2908-74, Standard Practice for Measuring Volatile Organic Matter in Water by Aqueous-Injection Gas Chromatography, IBR approved for §60.564(j).</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(113) ASTM D2908-91, Standard Practice for Measuring Volatile Organic Matter in Water by Aqueous-Injection Gas Chromatography, IBR approved for §60.564(j).</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(117) ASTM D3173-73, Standard Test Method for Moisture in the Analysis Sample of Coal and Coke, IBR approved for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(118) ASTM D3173-87, Standard Test Method for Moisture in the Analysis Sample of Coal and Coke, IBR approved for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(119) ASTM D3176-74, Standard Method for Ultimate Analysis of Coal and Coke, IBR approved for §60.45(f)(5)(i) and appendix A-7 to part 60: Method 19, Section 12.3.2.3.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(120) ASTM D3176-89, Standard Method for Ultimate Analysis of Coal and Coke, IBR approved for §60.45(f)(5)(i) and appendix A-7 to part 60: Method 19, Section 12.3.2.3.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(121) ASTM D3177-75, Standard Test Method for Total Sulfur in the Analysis Sample of Coal and Coke, IBR approved for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(122) ASTM D3177-89, Standard Test Method for Total Sulfur in the Analysis Sample of Coal and Coke, IBR approved for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(123) ASTM D3178-73 (Reapproved 1979), Standard Test Methods for Carbon and Hydrogen in the Analysis Sample of Coal and Coke, IBR approved for §60.45(f).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(124) ASTM D3178-89, Standard Test Methods for Carbon and Hydrogen in the Analysis Sample of Coal and Coke, IBR approved for §60.45(f).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(125) ASTM D3246-81, Standard Test Method for Sulfur in Petroleum Gas by Oxidative Microcoulometry, IBR approved for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(126) ASTM D3246-92, Standard Test Method for Sulfur in Petroleum Gas by Oxidative Microcoulometry, IBR approved for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(127) ASTM D3246-96, Standard Test Method for Sulfur in Petroleum Gas by Oxidative Microcoulometry, IBR approved for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(128) ASTM D3246-05, Standard Test Method for Sulfur in Petroleum Gas by Oxidative Microcoulometry, IBR approved for §60.4415(a)(1).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(129) ASTM D3270-73T, Standard Test Methods for Analysis for Fluoride Content of the Atmosphere and Plant Tissues (Semiautomated Method), IBR approved for appendix A-5 to part 60: Method 13A, Section 16.1.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(130) ASTM D3270-80, Standard Test Methods for Analysis for Fluoride Content of the Atmosphere and Plant Tissues (Semiautomated Method), IBR approved for appendix A-5 to part 60: Method 13A, Section 16.1.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(131) ASTM D3270-91, Standard Test Methods for Analysis for Fluoride Content of the Atmosphere and Plant Tissues (Semiautomated Method), IBR approved for appendix A-5 to part 60: Method 13A, Section 16.1.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(132) ASTM D3270-95, Standard Test Methods for Analysis for Fluoride Content of the Atmosphere and Plant Tissues (Semiautomated Method), IBR approved for appendix A-5 to part 60: Method 13A, Section 16.1.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(133) ASTM D3286-85, Standard Test Method for Gross Calorific Value of Coal and Coke by the Isoperibol Bomb Calorimeter, IBR approved for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(134) ASTM D3286-96, Standard Test Method for Gross Calorific Value of Coal and Coke by the Isoperibol Bomb Calorimeter, IBR approved for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(135) ASTM D3370-76, Standard Practices for Sampling Water, IBR approved for §60.564(j).</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(136) ASTM D3370-95a, Standard Practices for Sampling Water, IBR approved for §60.564(j).</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(137) ASTM D3588-98 (Reapproved 2003), Standard Practice for Calculating Heat Value, Compressibility Factor, and Relative Density of Gaseous Fuels, (Approved May 10, 2003), IBR approved for §§60.107a(d) and 60.5413(d).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(138) ASTM D3699-08, Standard Specification for Kerosine, including Appendix X1, (Approved September 1, 2008), IBR approved for §§60.41b and 60.41c.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(139) ASTM D3792-79, Standard Test Method for Water Content of Water-Reducible Paints by Direct Injection into a Gas Chromatograph, IBR approved for appendix A-7 to part 60: Method 24, Section 6.3.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(140) ASTM D3792-91, Standard Test Method for Water Content of Water-Reducible Paints by Direct Injection into a Gas Chromatograph, IBR approved for appendix A-7 to part 60: Method 24, Section 6.3.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(141) ASTM D4017-81, Standard Test Method for Water in Paints and Paint Materials by the Karl Fischer Titration Method, IBR approved for appendix A-7 to part 60: Method 24, Section 6.4.</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(142) ASTM D4017-90, Standard Test Method for Water in Paints and Paint Materials by the Karl Fischer Titration Method, IBR approved for appendix A-7 to part 60: Method 24, Section 6.4.</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(143) ASTM D4017-96a, Standard Test Method for Water in Paints and Paint Materials by the Karl Fischer Titration Method, IBR approved for appendix A-7 to part 60: Method 24, Section 6.4.</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(144) ASTM D4057-81, Standard Practice for Manual Sampling of Petroleum and Petroleum Products, IBR approved for appendix A-7 to part 60: Method 19, Section 12.5.2.2.3.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(145) ASTM D4057-95, Standard Practice for Manual Sampling of Petroleum and Petroleum Products, IBR approved for appendix A-7 to part 60: Method 19, Section 12.5.2.2.3.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(146) ASTM D4057-95 (Reapproved 2000), Standard Practice for Manual Sampling of Petroleum and Petroleum Products, IBR approved for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(147) ASTM D4084-82, Standard Test Method for Analysis of Hydrogen Sulfide in Gaseous Fuels (Lead Acetate Reaction Rate Method), IBR approved for §60.334(h).</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(148) ASTM D4084-94, Standard Test Method for Analysis of Hydrogen Sulfide in Gaseous Fuels (Lead Acetate Reaction Rate Method), IBR approved for §60.334(h).</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(149) ASTM D4084-05, Standard Test Method for Analysis of Hydrogen Sulfide in Gaseous Fuels (Lead Acetate Reaction Rate Method), IBR approved for §§60.4360 and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(150) ASTM D4177-95, Standard Practice for Automatic Sampling of Petroleum and Petroleum Products, IBR approved for appendix A-7 to part 60: Method 19, Section 12.5.2.2.1.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(151) ASTM D4177-95 (Reapproved 2000), Standard Practice for Automatic Sampling of Petroleum and Petroleum Products, IBR approved for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(152) ASTM D4239-85, Standard Test Methods for Sulfur in the Analysis Sample of Coal and Coke Using High Temperature Tube Furnace Combustion Methods, IBR approved for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(153) ASTM D4239-94, Standard Test Methods for Sulfur in the Analysis Sample of Coal and Coke Using High Temperature Tube Furnace Combustion Methods, IBR approved for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(154) ASTM D4239-97, Standard Test Methods for Sulfur in the Analysis Sample of Coal and Coke Using High Temperature Tube Furnace Combustion Methods, IBR approved for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(155) ASTM D4294-02, Standard Test Method for Sulfur in Petroleum and Petroleum Products by Energy-Dispersive X-Ray Fluorescence Spectrometry, IBR approved for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(156) ASTM D4294-03, Standard Test Method for Sulfur in Petroleum and Petroleum Products by Energy-Dispersive X-Ray Fluorescence Spectrometry, IBR approved for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(157) ASTM D4442-84, Standard Test Methods for Direct Moisture Content Measurement in Wood and Wood-base Materials, IBR approved for appendix A-8 to part 60: Method 28, Section 16.1.1.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(158) ASTM D4442-92, Standard Test Methods for Direct Moisture Content Measurement in Wood and Wood-base Materials, IBR approved for appendix A-8 to part 60: Method 28, Section 16.1.1.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(159) ASTM D4444-92, Standard Test Methods for Use and Calibration of Hand-Held Moisture Meters, IBR approved for appendix A-8 to part 60: Method 28, Section 16.1.1.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(160) ASTM D4457-85 (Reapproved 1991), Test Method for Determination of Dichloromethane and 1,1,1-Trichloroethane in Paints and Coatings by Direct Injection into a Gas Chromatograph, IBR approved for appendix A-7 to part 60: Method 24, Section 6.5.</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(161) ASTM D4468-85 (Reapproved 2000), Standard Test Method for Total Sulfur in Gaseous Fuels by Hydrogenolysis and Rateometric Colorimetry, IBR approved for §§60.335(b) and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(162) ASTM D4468-85 (Reapproved 2006), Standard Test Method for Total Sulfur in Gaseous Fuels by Hydrogenolysis and Rateometric Colorimetry, (Approved June 1, 2006), IBR approved for §60.107a(e).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(163) ASTM D4629-02, Standard Test Method for Trace Nitrogen in Liquid Petroleum Hydrocarbons by Syringe/Inlet Oxidative Combustion and Chemiluminescence Detection, IBR approved for §§60.49b(e) and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(164) ASTM D4809-95, Standard Test Method for Heat of Combustion of Liquid Hydrocarbon Fuels by Bomb Calorimeter (Precision Method), IBR approved for §§60.18(f), 60.485(g), 60.485a(g), 60.564(f), 60.614(d), 60.664(e), and 60.704(d).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(165) ASTM D4809-06, Standard Test Method for Heat of Combustion of Liquid Hydrocarbon Fuels by Bomb Calorimeter (Precision Method), (Approved December 1, 2006),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(166) ASTM D4810-88 (Reapproved 1999), Standard Test Method for Hydrogen Sulfide in Natural Gas Using Length of Stain Detector Tubes, IBR approved for §§60.4360 and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(167) ASTM D4891-89 (Reapproved 2006) Standard Test Method for Heating Value of Gases in Natural Gas Range by Stoichiometric Combustion, (Approved June 1, 2006), IBR approved for §§60.107a(d) and 60.5413(d).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(168) ASTM D5287-97 (Reapproved 2002), Standard Practice for Automatic Sampling of Gaseous Fuels, IBR approved for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(169) ASTM D5403-93, Standard Test Methods for Volatile Content of Radiation Curable Materials, IBR approved for appendix A-7 to part 60: Method 24, Section 6.6.</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(170) ASTM D5453-00, Standard Test Method for Determination of Total Sulfur in Light Hydrocarbons, Motor Fuels and Oils by Ultraviolet Fluorescence, IBR approved for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(171) ASTM D5453-05, Standard Test Method for Determination of Total Sulfur in Light Hydrocarbons, Motor Fuels and Oils by Ultraviolet Fluorescence, IBR approved for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(172) ASTM D5504-01, Standard Test Method for Determination of Sulfur Compounds in Natural Gas and Gaseous Fuels by Gas Chromatography and Chemiluminescence, IBR approved for §§60.334(h) and 60.4360.</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(173) ASTM D5504-08, Standard Test Method for Determination of Sulfur Compounds in Natural Gas and Gaseous Fuels by Gas Chromatography and Chemiluminescence, (Approved June 15, 2008), IBR approved for §§60.107a(e) and 60.5413(d).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(174) ASTM D5762-02, Standard Test Method for Nitrogen in Petroleum and Petroleum Products by Boat-Inlet Chemiluminescence, IBR approved for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(175) ASTM D5865-98, Standard Test Method for Gross Calorific Value of Coal and Coke, IBR approved for §§60.45(f) and 60.46(c), and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(176) ASTM D5865-10, Standard Test Method for Gross Calorific Value of Coal and Coke, (Approved January 1, 2010), IBR approved for §§60.45(f), 60.46(c), and appendix A-7 to part 60: Method 19, section 12.5.2.1.3.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(177) ASTM D6216-98, Standard Practice for Opacity Monitor Manufacturers to Certify Conformance with Design and Performance Specifications, IBR approved for appendix B to part 60: Performance Specification 1.</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(178) ASTM D6228-98, Standard Test Method for Determination of Sulfur Compounds in Natural Gas and Gaseous Fuels by Gas Chromatography and Flame Photometric Detection, IBR approved for §60.334(h).</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(179) ASTM D6228-98 (Reapproved 2003), Standard Test Method for Determination of Sulfur Compounds in Natural Gas and Gaseous Fuels by Gas Chromatography and Flame Photometric Detection, IBR approved for §§60.4360 and 60.4415.</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(180) ASTM D6348-03, Standard Test Method for Determination of Gaseous Compounds by Extractive Direct Interface Fourier Transform Infrared (FTIR) Spectroscopy, (Approved October 1, 2003), IBR approved for §60.73a(b), table 7 to subpart IIII, and table 2 to subpart JJJJ.</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(181) ASTM D6366-99, Standard Test Method for Total Trace Nitrogen and Its Derivatives in Liquid Aromatic Hydrocarbons by Oxidative Combustion and Electrochemical Detection, IBR approved for §60.335(b)(9).</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(182) ASTM D6420-99 (Reapproved 2004), Standard Test Method for Determination of Gaseous Organic Compounds by Direct Interface Gas Chromatography-Mass Spectrometry, (Approved October 1, 2004), IBR approved for §60.107a(d) and table 2 to subpart JJJJ.</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and §§60.5413(b) and (d).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(185) ASTM D6667-01, Standard Test Method for Determination of Total Volatile Sulfur in Gaseous Hydrocarbons and Liquefied Petroleum Gases by Ultraviolet Fluorescence, IBR approved for §60.335(b).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(186) ASTM D6667-04, Standard Test Method for Determination of Total Volatile Sulfur in Gaseous Hydrocarbons and Liquefied Petroleum Gases by Ultraviolet Fluorescence, IBR approved for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(187) ASTM D6751-11b, Standard Specification for Biodiesel Fuel Blend Stock (B100) for Middle Distillate Fuels, including Appendices X1 through X3, (Approved July 15, 2011), IBR approved for §§60.41b and 60.41c.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(190) ASTM D7467-10, Standard Specification for Diesel Fuel Oil, Biodiesel Blend (B6 to B20), including Appendices X1 through X3, (Approved August 1, 2010), IBR approved for §§60.41b and 60.41c.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(191) ASTM E168-67, General Techniques of Infrared Quantitative Analysis, IBR approved for §§60.485a(d), 60.593(b), 60.593a(b), and 60.632(f).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(192) ASTM E168-77, General Techniques of Infrared Quantitative Analysis, IBR approved for §§60.485a(d), 60.593(b), 60.593a(b), and 60.632(f).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(193) ASTM E168-92, General Techniques of Infrared Quantitative Analysis, IBR approved for §§60.485a(d)(1), 60.593(b)(2), 60.593a(b)(2), 60.632(f), and 60.5400.</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(194) ASTM E169-63, General Techniques of Ultraviolet Quantitative Analysis, IBR approved for §§60.485a(d), 60.593(b), 60.593a(b), and 60.632(f)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(195) ASTM E169-77, General Techniques of Ultraviolet Quantitative Analysis, IBR approved for §§60.485a(d), 60.593(b), and 60.593a(b), 60.632(f).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(196) ASTM E169-93, General Techniques of Ultraviolet Quantitative Analysis, (Approved May 15, 1993), IBR approved for §§60.485a(d), 60.593(b), 60.593a(b), 60.632(f), and 60.5400(f).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(197) ASTM E260-73, General Gas Chromatography Procedures, IBR approved for §§60.485a(d), 60.593(b), 60.593a(b), and 60.632(f).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(198) ASTM E260-91, General Gas Chromatography Procedures, (IBR approved for §§60.485a(d), 60.593(b), 60.593a(b), and 60.632(f).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(199) ASTM E260-96, General Gas Chromatography Procedures, (Approved April 10, 1996), IBR approved for §§60.485a(d), 60.593(b), 60.593a(b), 60.632(f), 60.5400(f), and 60.5406(b).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(200) ASTM E1584-11, Standard Test Method for Assay of Nitric Acid, (Approved August 1, 2011), IBR approved for §60.73a(c).</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(201) ASTM UOP539-97, Refinery Gas Analysis by Gas Chromatography, (Copyright 1997),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(h) Association of Official Analytical Chemists, 1111 North 19th Street, Suite 210, Arlington, VA 22209.</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AOAC Method 9, Official Methods of Analysis of the Association of Official Analytical Chemists (AOAC), 11th edition, 1970, pp. 11-12, IBR approved for §§60.204(b), 60.214(b), 60.224(b), and 60.234(b).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[Reserved]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 U.S. Environmental Protection Agency, 1200 Pennsylvania Avenue NW., Washington, DC 20460, (202) 272-0167, </w:t>
      </w:r>
      <w:r w:rsidRPr="005E5A2A">
        <w:rPr>
          <w:rFonts w:ascii="Arial" w:eastAsia="Times New Roman" w:hAnsi="Arial" w:cs="Arial"/>
          <w:i/>
          <w:iCs/>
          <w:sz w:val="20"/>
          <w:szCs w:val="20"/>
        </w:rPr>
        <w:t>http://www.epa.gov</w:t>
      </w:r>
      <w:r w:rsidRPr="005E5A2A">
        <w:rPr>
          <w:rFonts w:ascii="Arial" w:eastAsia="Times New Roman" w:hAnsi="Arial" w:cs="Arial"/>
          <w:sz w:val="20"/>
          <w:szCs w:val="20"/>
        </w:rPr>
        <w: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EPA-454/R-98-015, Office of Air Quality Planning and Standards (OAQPS) Fabric Filter Bag Leak Detection Guidance, September 1997, IBR approved for §§60.2145(r), 60.2710(r), 60.4905(b), and 60.5225(b).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[Reserved]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(j)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(1) Gas Processors Association Standard 2172-09, Calculation of Gross Heating Value, Relative Density, Compressibility and Theoretical Hydrocarbon Liquid Content for Natural Gas Mixtures for Custody Transfer (2009),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Gas Processors Association Standard 2261-00, Analysis for Natural Gas and Similar Gaseous Mixtures by Gas Chromatography (2000),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Gas Processors Association Standard 2377-86, Test for Hydrogen Sulfide and Carbon Dioxide in Natural Gas Using Length of Stain Tubes, 1986 Revision, IBR approved for §§60.105(b), 60.107a(b), 60.334(h), 60.4360, and 60.4415(a).</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(k) International Organization for Standardization (ISO) available through IHS Inc., 15 Inverness Way East, Englewood, CO 80112.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ISO 8178-4: 1996(E), Reciprocating Internal Combustion Engines—Exhaust Emission Measurement—part 4: Test Cycles for Different Engine Applications, IBR approved for §60.4241(b).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[Reserved]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(l) International Organization for Standardization (ISO), 1, ch. de la Voie-Creuse, Case postale 56, CH-1211 Geneva 20, Switzerland, +41 22 749 01 11, </w:t>
      </w:r>
      <w:r w:rsidRPr="005E5A2A">
        <w:rPr>
          <w:rFonts w:ascii="Arial" w:eastAsia="Times New Roman" w:hAnsi="Arial" w:cs="Arial"/>
          <w:i/>
          <w:iCs/>
          <w:sz w:val="20"/>
          <w:szCs w:val="20"/>
        </w:rPr>
        <w:t>http://www.iso.org/iso/home.htm</w:t>
      </w:r>
      <w:r w:rsidRPr="005E5A2A">
        <w:rPr>
          <w:rFonts w:ascii="Arial" w:eastAsia="Times New Roman" w:hAnsi="Arial" w:cs="Arial"/>
          <w:sz w:val="20"/>
          <w:szCs w:val="20"/>
        </w:rPr>
        <w: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ISO 8316: Measurement of Liquid Flow in Closed Conduits—Method by Collection of the Liquid in a Volumetric Tank (1987-10-01)—First Edition, IBR approved for §60.107a(d).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[Reserved]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(m)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OMB Bulletin No. 93-17: Revised Statistical Definitions for Metropolitan Areas. Office of Management and Budget, June 30, 1993. NTIS No. PB 93-192-664. IBR approved for §60.31e.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[Reserved]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(n) North American Electric Reliability Corporation, 1325 G Street NW., Suite 600, Washington, DC 20005-3801, </w:t>
      </w:r>
      <w:r w:rsidRPr="005E5A2A">
        <w:rPr>
          <w:rFonts w:ascii="Arial" w:eastAsia="Times New Roman" w:hAnsi="Arial" w:cs="Arial"/>
          <w:i/>
          <w:iCs/>
          <w:sz w:val="20"/>
          <w:szCs w:val="20"/>
        </w:rPr>
        <w:t>http://www.nerc.com</w:t>
      </w:r>
      <w:r w:rsidRPr="005E5A2A">
        <w:rPr>
          <w:rFonts w:ascii="Arial" w:eastAsia="Times New Roman" w:hAnsi="Arial" w:cs="Arial"/>
          <w:sz w:val="20"/>
          <w:szCs w:val="20"/>
        </w:rPr>
        <w: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North American Electric Reliability Corporation Reliability Standard EOP-002-3, Capacity and Energy Emergencies, updated November 19, 2012, IBR approved for §§60.4211(f) and 60.4243(d). Also available online: </w:t>
      </w:r>
      <w:r w:rsidRPr="005E5A2A">
        <w:rPr>
          <w:rFonts w:ascii="Arial" w:eastAsia="Times New Roman" w:hAnsi="Arial" w:cs="Arial"/>
          <w:i/>
          <w:iCs/>
          <w:sz w:val="20"/>
          <w:szCs w:val="20"/>
        </w:rPr>
        <w:t>http://www.nerc.com/files/EOP-002-3_1.pdf</w:t>
      </w:r>
      <w:r w:rsidRPr="005E5A2A">
        <w:rPr>
          <w:rFonts w:ascii="Arial" w:eastAsia="Times New Roman" w:hAnsi="Arial" w:cs="Arial"/>
          <w:sz w:val="20"/>
          <w:szCs w:val="20"/>
        </w:rPr>
        <w: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[Reserved]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(o) The following material is available for purchase from the Technical Association of the Pulp and Paper Industry (TAPPI), 15 Technology Parkway South, Suite 115, Peachtree Corners, GA 30092, Telephone (800) 332-8686, and is also available at the following Web site: </w:t>
      </w:r>
      <w:r w:rsidRPr="005E5A2A">
        <w:rPr>
          <w:rFonts w:ascii="Arial" w:eastAsia="Times New Roman" w:hAnsi="Arial" w:cs="Arial"/>
          <w:i/>
          <w:iCs/>
          <w:sz w:val="20"/>
          <w:szCs w:val="20"/>
        </w:rPr>
        <w:t>http://www.tappi.org.</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TAPPI Method T 624 cm-11, (Copyright 2011), IBR approved, for §§60.285(d) and 60.285a(d).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(2) [Reserved]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(p) Underwriter's Laboratories, Inc. (UL), 333 Pfingsten Road, Northbrook, IL 60062.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UL 103, Sixth Edition revised as of September 3, 1986, Standard for Chimneys, Factory-built, Residential Type and Building Heating Appliance, IBR approved for Appendix A-8 to part 60.</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[Reserved]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(q) Water Pollution Control Federation (WPCF), 2626 Pennsylvania Avenue NW., Washington, DC 20037.</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Method 209A, Total Residue Dried at 103-105 °C, in Standard Methods for the Examination of Water and Wastewater, 15th Edition, 1980, IBR approved for §60.683(b).</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[Reserved]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(r) West Coast Lumber Inspection Bureau, 6980 SW. Barnes Road, Portland, OR 97223.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West Coast Lumber Standard Grading Rules No. 16, pages 5-21, 90 and 91, September 3, 1970, revised 1984, IBR approved for Appendix A-8 to part 60.</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[Reserved]</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[79 FR 11242, Feb. 27, 2014, as amended at 79 FR 18965, Apr. 4, 2014]</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47"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7" name="Picture 7"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19" w:name="40:7.0.1.1.1.1.151.18"/>
      <w:bookmarkEnd w:id="19"/>
      <w:r w:rsidRPr="005E5A2A">
        <w:rPr>
          <w:rFonts w:ascii="Arial" w:eastAsia="Times New Roman" w:hAnsi="Arial" w:cs="Arial"/>
          <w:b/>
          <w:bCs/>
          <w:sz w:val="20"/>
          <w:szCs w:val="20"/>
        </w:rPr>
        <w:t>§60.18   General control device and work practice requirements.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(a) </w:t>
      </w:r>
      <w:r w:rsidRPr="005E5A2A">
        <w:rPr>
          <w:rFonts w:ascii="Arial" w:eastAsia="Times New Roman" w:hAnsi="Arial" w:cs="Arial"/>
          <w:i/>
          <w:iCs/>
          <w:sz w:val="20"/>
          <w:szCs w:val="20"/>
        </w:rPr>
        <w:t>Introduction.</w:t>
      </w:r>
      <w:r w:rsidRPr="005E5A2A">
        <w:rPr>
          <w:rFonts w:ascii="Arial" w:eastAsia="Times New Roman" w:hAnsi="Arial" w:cs="Arial"/>
          <w:sz w:val="20"/>
          <w:szCs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(b) </w:t>
      </w:r>
      <w:r w:rsidRPr="005E5A2A">
        <w:rPr>
          <w:rFonts w:ascii="Arial" w:eastAsia="Times New Roman" w:hAnsi="Arial" w:cs="Arial"/>
          <w:i/>
          <w:iCs/>
          <w:sz w:val="20"/>
          <w:szCs w:val="20"/>
        </w:rPr>
        <w:t>Flares.</w:t>
      </w:r>
      <w:r w:rsidRPr="005E5A2A">
        <w:rPr>
          <w:rFonts w:ascii="Arial" w:eastAsia="Times New Roman" w:hAnsi="Arial" w:cs="Arial"/>
          <w:sz w:val="20"/>
          <w:szCs w:val="20"/>
        </w:rPr>
        <w:t xml:space="preserve"> Paragraphs (c) through (f) apply to flares.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(c)(1) Flares shall be designed for and operated with no visible emissions as determined by the methods specified in paragraph (f), except for periods not to exceed a total of 5 minutes during any 2 consecutive hours.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Flares shall be operated with a flame present at all times, as determined by the methods specified in paragraph (f).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(i)(A) Flares shall be used that have a diameter of 3 inches or greater, are nonassisted, have a hydrogen content of 8.0 percent (by volume), or greater, and are designed for and operated with an exit velocity less than 37.2 m/sec (122 ft/sec) and less than the velocity, V</w:t>
      </w:r>
      <w:r w:rsidRPr="005E5A2A">
        <w:rPr>
          <w:rFonts w:ascii="Arial" w:eastAsia="Times New Roman" w:hAnsi="Arial" w:cs="Arial"/>
          <w:sz w:val="14"/>
          <w:szCs w:val="14"/>
          <w:vertAlign w:val="subscript"/>
        </w:rPr>
        <w:t>max</w:t>
      </w:r>
      <w:r w:rsidRPr="005E5A2A">
        <w:rPr>
          <w:rFonts w:ascii="Arial" w:eastAsia="Times New Roman" w:hAnsi="Arial" w:cs="Arial"/>
          <w:sz w:val="20"/>
          <w:szCs w:val="20"/>
        </w:rPr>
        <w:t>, as determined by the following equation:</w:t>
      </w:r>
    </w:p>
    <w:p w:rsidR="005E5A2A" w:rsidRPr="005E5A2A" w:rsidRDefault="005E5A2A" w:rsidP="005E5A2A">
      <w:pPr>
        <w:spacing w:before="200" w:after="100" w:line="240" w:lineRule="auto"/>
        <w:ind w:left="960" w:hanging="960"/>
        <w:rPr>
          <w:rFonts w:ascii="Arial" w:eastAsia="Times New Roman" w:hAnsi="Arial" w:cs="Arial"/>
          <w:sz w:val="20"/>
          <w:szCs w:val="20"/>
        </w:rPr>
      </w:pPr>
      <w:r w:rsidRPr="005E5A2A">
        <w:rPr>
          <w:rFonts w:ascii="Arial" w:eastAsia="Times New Roman" w:hAnsi="Arial" w:cs="Arial"/>
          <w:sz w:val="20"/>
          <w:szCs w:val="20"/>
        </w:rPr>
        <w:t>V</w:t>
      </w:r>
      <w:r w:rsidRPr="005E5A2A">
        <w:rPr>
          <w:rFonts w:ascii="Arial" w:eastAsia="Times New Roman" w:hAnsi="Arial" w:cs="Arial"/>
          <w:sz w:val="14"/>
          <w:szCs w:val="14"/>
          <w:vertAlign w:val="subscript"/>
        </w:rPr>
        <w:t>max</w:t>
      </w:r>
      <w:r w:rsidRPr="005E5A2A">
        <w:rPr>
          <w:rFonts w:ascii="Arial" w:eastAsia="Times New Roman" w:hAnsi="Arial" w:cs="Arial"/>
          <w:sz w:val="20"/>
          <w:szCs w:val="20"/>
        </w:rPr>
        <w:t xml:space="preserve"> = (X</w:t>
      </w:r>
      <w:r w:rsidRPr="005E5A2A">
        <w:rPr>
          <w:rFonts w:ascii="Arial" w:eastAsia="Times New Roman" w:hAnsi="Arial" w:cs="Arial"/>
          <w:sz w:val="14"/>
          <w:szCs w:val="14"/>
          <w:vertAlign w:val="subscript"/>
        </w:rPr>
        <w:t>H2</w:t>
      </w:r>
      <w:r w:rsidRPr="005E5A2A">
        <w:rPr>
          <w:rFonts w:ascii="Arial" w:eastAsia="Times New Roman" w:hAnsi="Arial" w:cs="Arial"/>
          <w:sz w:val="20"/>
          <w:szCs w:val="20"/>
        </w:rPr>
        <w:t>−K</w:t>
      </w:r>
      <w:r w:rsidRPr="005E5A2A">
        <w:rPr>
          <w:rFonts w:ascii="Arial" w:eastAsia="Times New Roman" w:hAnsi="Arial" w:cs="Arial"/>
          <w:sz w:val="14"/>
          <w:szCs w:val="14"/>
          <w:vertAlign w:val="subscript"/>
        </w:rPr>
        <w:t>1</w:t>
      </w:r>
      <w:r w:rsidRPr="005E5A2A">
        <w:rPr>
          <w:rFonts w:ascii="Arial" w:eastAsia="Times New Roman" w:hAnsi="Arial" w:cs="Arial"/>
          <w:sz w:val="20"/>
          <w:szCs w:val="20"/>
        </w:rPr>
        <w:t>)* K</w:t>
      </w:r>
      <w:r w:rsidRPr="005E5A2A">
        <w:rPr>
          <w:rFonts w:ascii="Arial" w:eastAsia="Times New Roman" w:hAnsi="Arial" w:cs="Arial"/>
          <w:sz w:val="14"/>
          <w:szCs w:val="14"/>
          <w:vertAlign w:val="subscript"/>
        </w:rPr>
        <w:t>2</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Where:</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V</w:t>
      </w:r>
      <w:r w:rsidRPr="005E5A2A">
        <w:rPr>
          <w:rFonts w:ascii="Arial" w:eastAsia="Times New Roman" w:hAnsi="Arial" w:cs="Arial"/>
          <w:sz w:val="13"/>
          <w:szCs w:val="13"/>
          <w:vertAlign w:val="subscript"/>
        </w:rPr>
        <w:t>max</w:t>
      </w:r>
      <w:r w:rsidRPr="005E5A2A">
        <w:rPr>
          <w:rFonts w:ascii="Arial" w:eastAsia="Times New Roman" w:hAnsi="Arial" w:cs="Arial"/>
          <w:sz w:val="18"/>
          <w:szCs w:val="18"/>
        </w:rPr>
        <w:t xml:space="preserve"> = Maximum permitted velocity, m/sec.</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K</w:t>
      </w:r>
      <w:r w:rsidRPr="005E5A2A">
        <w:rPr>
          <w:rFonts w:ascii="Arial" w:eastAsia="Times New Roman" w:hAnsi="Arial" w:cs="Arial"/>
          <w:sz w:val="13"/>
          <w:szCs w:val="13"/>
          <w:vertAlign w:val="subscript"/>
        </w:rPr>
        <w:t>1</w:t>
      </w:r>
      <w:r w:rsidRPr="005E5A2A">
        <w:rPr>
          <w:rFonts w:ascii="Arial" w:eastAsia="Times New Roman" w:hAnsi="Arial" w:cs="Arial"/>
          <w:sz w:val="18"/>
          <w:szCs w:val="18"/>
        </w:rPr>
        <w:t xml:space="preserve"> = Constant, 6.0 volume-percent hydrogen.</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K</w:t>
      </w:r>
      <w:r w:rsidRPr="005E5A2A">
        <w:rPr>
          <w:rFonts w:ascii="Arial" w:eastAsia="Times New Roman" w:hAnsi="Arial" w:cs="Arial"/>
          <w:sz w:val="13"/>
          <w:szCs w:val="13"/>
          <w:vertAlign w:val="subscript"/>
        </w:rPr>
        <w:t>2</w:t>
      </w:r>
      <w:r w:rsidRPr="005E5A2A">
        <w:rPr>
          <w:rFonts w:ascii="Arial" w:eastAsia="Times New Roman" w:hAnsi="Arial" w:cs="Arial"/>
          <w:sz w:val="18"/>
          <w:szCs w:val="18"/>
        </w:rPr>
        <w:t xml:space="preserve"> = Constant, 3.9(m/sec)/volume-percent hydrogen.</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X</w:t>
      </w:r>
      <w:r w:rsidRPr="005E5A2A">
        <w:rPr>
          <w:rFonts w:ascii="Arial" w:eastAsia="Times New Roman" w:hAnsi="Arial" w:cs="Arial"/>
          <w:sz w:val="13"/>
          <w:szCs w:val="13"/>
          <w:vertAlign w:val="subscript"/>
        </w:rPr>
        <w:t>H2</w:t>
      </w:r>
      <w:r w:rsidRPr="005E5A2A">
        <w:rPr>
          <w:rFonts w:ascii="Arial" w:eastAsia="Times New Roman" w:hAnsi="Arial" w:cs="Arial"/>
          <w:sz w:val="18"/>
          <w:szCs w:val="18"/>
        </w:rPr>
        <w:t xml:space="preserve"> = The volume-percent of hydrogen, on a wet basis, as calculated by using the American Society for Testing and Materials (ASTM) Method D1946-77. (Incorporated by reference as specified in §60.17).</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(B) The actual exit velocity of a flare shall be determined by the method specified in paragraph (f)(4)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(iii) Steam-assisted and nonassisted flares designed for and operated with an exit velocity, as determined by the methods specified in paragraph (f)(4), less than the velocity, V</w:t>
      </w:r>
      <w:r w:rsidRPr="005E5A2A">
        <w:rPr>
          <w:rFonts w:ascii="Arial" w:eastAsia="Times New Roman" w:hAnsi="Arial" w:cs="Arial"/>
          <w:sz w:val="14"/>
          <w:szCs w:val="14"/>
          <w:vertAlign w:val="subscript"/>
        </w:rPr>
        <w:t>max</w:t>
      </w:r>
      <w:r w:rsidRPr="005E5A2A">
        <w:rPr>
          <w:rFonts w:ascii="Arial" w:eastAsia="Times New Roman" w:hAnsi="Arial" w:cs="Arial"/>
          <w:sz w:val="20"/>
          <w:szCs w:val="20"/>
        </w:rPr>
        <w:t>, as determined by the method specified in paragraph (f)(5), and less than 122 m/sec (400 ft/sec) are allowed.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 Air-assisted flares shall be designed and operated with an exit velocity less than the velocity, V</w:t>
      </w:r>
      <w:r w:rsidRPr="005E5A2A">
        <w:rPr>
          <w:rFonts w:ascii="Arial" w:eastAsia="Times New Roman" w:hAnsi="Arial" w:cs="Arial"/>
          <w:sz w:val="14"/>
          <w:szCs w:val="14"/>
          <w:vertAlign w:val="subscript"/>
        </w:rPr>
        <w:t>max</w:t>
      </w:r>
      <w:r w:rsidRPr="005E5A2A">
        <w:rPr>
          <w:rFonts w:ascii="Arial" w:eastAsia="Times New Roman" w:hAnsi="Arial" w:cs="Arial"/>
          <w:sz w:val="20"/>
          <w:szCs w:val="20"/>
        </w:rPr>
        <w:t>, as determined by the method specified in paragraph (f)(6).</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 Flares used to comply with this section shall be steam-assisted, air-assisted, or nonassisted.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(e) Flares used to comply with provisions of this subpart shall be operated at all times when emissions may be vented to them.</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(f)(1) Method 22 of appendix A to this part shall be used to determine the compliance of flares with the visible emission provisions of this subpart. The observation period is 2 hours and shall be used according to Method 22.</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The presence of a flare pilot flame shall be monitored using a thermocouple or any other equivalent device to detect the presence of a flame.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The net heating value of the gas being combusted in a flare shall be calculated using the following equation:</w:t>
      </w:r>
    </w:p>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noProof/>
          <w:sz w:val="20"/>
          <w:szCs w:val="20"/>
        </w:rPr>
        <w:drawing>
          <wp:inline distT="0" distB="0" distL="0" distR="0">
            <wp:extent cx="1094105" cy="297180"/>
            <wp:effectExtent l="0" t="0" r="0" b="7620"/>
            <wp:docPr id="6" name="Picture 6"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c01jn92.008.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94105" cy="297180"/>
                    </a:xfrm>
                    <a:prstGeom prst="rect">
                      <a:avLst/>
                    </a:prstGeom>
                    <a:noFill/>
                    <a:ln>
                      <a:noFill/>
                    </a:ln>
                  </pic:spPr>
                </pic:pic>
              </a:graphicData>
            </a:graphic>
          </wp:inline>
        </w:drawing>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hyperlink r:id="rId49" w:history="1">
        <w:r w:rsidRPr="005E5A2A">
          <w:rPr>
            <w:rFonts w:ascii="Arial" w:eastAsia="Times New Roman" w:hAnsi="Arial" w:cs="Arial"/>
            <w:color w:val="0000FF"/>
            <w:sz w:val="17"/>
            <w:szCs w:val="17"/>
          </w:rPr>
          <w:t>View or download PDF</w:t>
        </w:r>
      </w:hyperlink>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where:</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H</w:t>
      </w:r>
      <w:r w:rsidRPr="005E5A2A">
        <w:rPr>
          <w:rFonts w:ascii="Arial" w:eastAsia="Times New Roman" w:hAnsi="Arial" w:cs="Arial"/>
          <w:sz w:val="13"/>
          <w:szCs w:val="13"/>
          <w:vertAlign w:val="subscript"/>
        </w:rPr>
        <w:t>T</w:t>
      </w:r>
      <w:r w:rsidRPr="005E5A2A">
        <w:rPr>
          <w:rFonts w:ascii="Arial" w:eastAsia="Times New Roman" w:hAnsi="Arial" w:cs="Arial"/>
          <w:sz w:val="18"/>
          <w:szCs w:val="18"/>
        </w:rPr>
        <w:t xml:space="preserve"> = Net heating value of the sample, MJ/scm; where the net enthalpy per mole of offgas is based on combustion at 25 °C and 760 mm Hg, but the standard temperature for determining the volume corresponding to one mole is 20 °C;</w:t>
      </w:r>
    </w:p>
    <w:p w:rsidR="005E5A2A" w:rsidRPr="005E5A2A" w:rsidRDefault="005E5A2A" w:rsidP="005E5A2A">
      <w:pPr>
        <w:spacing w:after="0" w:line="240" w:lineRule="auto"/>
        <w:rPr>
          <w:rFonts w:ascii="Arial" w:eastAsia="Times New Roman" w:hAnsi="Arial" w:cs="Arial"/>
          <w:sz w:val="18"/>
          <w:szCs w:val="18"/>
        </w:rPr>
      </w:pPr>
      <w:r w:rsidRPr="005E5A2A">
        <w:rPr>
          <w:rFonts w:ascii="Arial" w:eastAsia="Times New Roman" w:hAnsi="Arial" w:cs="Arial"/>
          <w:noProof/>
          <w:sz w:val="18"/>
          <w:szCs w:val="18"/>
        </w:rPr>
        <w:drawing>
          <wp:inline distT="0" distB="0" distL="0" distR="0">
            <wp:extent cx="3382645" cy="583565"/>
            <wp:effectExtent l="0" t="0" r="8255" b="6985"/>
            <wp:docPr id="5" name="Picture 5"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c01jn92.009.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382645" cy="583565"/>
                    </a:xfrm>
                    <a:prstGeom prst="rect">
                      <a:avLst/>
                    </a:prstGeom>
                    <a:noFill/>
                    <a:ln>
                      <a:noFill/>
                    </a:ln>
                  </pic:spPr>
                </pic:pic>
              </a:graphicData>
            </a:graphic>
          </wp:inline>
        </w:drawing>
      </w:r>
    </w:p>
    <w:p w:rsidR="005E5A2A" w:rsidRPr="005E5A2A" w:rsidRDefault="005E5A2A" w:rsidP="005E5A2A">
      <w:pPr>
        <w:spacing w:before="100" w:beforeAutospacing="1" w:after="100" w:afterAutospacing="1" w:line="240" w:lineRule="auto"/>
        <w:ind w:firstLine="480"/>
        <w:rPr>
          <w:rFonts w:ascii="Arial" w:eastAsia="Times New Roman" w:hAnsi="Arial" w:cs="Arial"/>
          <w:sz w:val="18"/>
          <w:szCs w:val="18"/>
        </w:rPr>
      </w:pPr>
      <w:hyperlink r:id="rId51" w:history="1">
        <w:r w:rsidRPr="005E5A2A">
          <w:rPr>
            <w:rFonts w:ascii="Arial" w:eastAsia="Times New Roman" w:hAnsi="Arial" w:cs="Arial"/>
            <w:color w:val="0000FF"/>
            <w:sz w:val="17"/>
            <w:szCs w:val="17"/>
          </w:rPr>
          <w:t>View or download PDF</w:t>
        </w:r>
      </w:hyperlink>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C</w:t>
      </w:r>
      <w:r w:rsidRPr="005E5A2A">
        <w:rPr>
          <w:rFonts w:ascii="Arial" w:eastAsia="Times New Roman" w:hAnsi="Arial" w:cs="Arial"/>
          <w:sz w:val="13"/>
          <w:szCs w:val="13"/>
          <w:vertAlign w:val="subscript"/>
        </w:rPr>
        <w:t>i</w:t>
      </w:r>
      <w:r w:rsidRPr="005E5A2A">
        <w:rPr>
          <w:rFonts w:ascii="Arial" w:eastAsia="Times New Roman" w:hAnsi="Arial" w:cs="Arial"/>
          <w:sz w:val="18"/>
          <w:szCs w:val="18"/>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H</w:t>
      </w:r>
      <w:r w:rsidRPr="005E5A2A">
        <w:rPr>
          <w:rFonts w:ascii="Arial" w:eastAsia="Times New Roman" w:hAnsi="Arial" w:cs="Arial"/>
          <w:sz w:val="13"/>
          <w:szCs w:val="13"/>
          <w:vertAlign w:val="subscript"/>
        </w:rPr>
        <w:t>i</w:t>
      </w:r>
      <w:r w:rsidRPr="005E5A2A">
        <w:rPr>
          <w:rFonts w:ascii="Arial" w:eastAsia="Times New Roman" w:hAnsi="Arial" w:cs="Arial"/>
          <w:sz w:val="18"/>
          <w:szCs w:val="18"/>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 The maximum permitted velocity, V</w:t>
      </w:r>
      <w:r w:rsidRPr="005E5A2A">
        <w:rPr>
          <w:rFonts w:ascii="Arial" w:eastAsia="Times New Roman" w:hAnsi="Arial" w:cs="Arial"/>
          <w:sz w:val="14"/>
          <w:szCs w:val="14"/>
          <w:vertAlign w:val="subscript"/>
        </w:rPr>
        <w:t>max</w:t>
      </w:r>
      <w:r w:rsidRPr="005E5A2A">
        <w:rPr>
          <w:rFonts w:ascii="Arial" w:eastAsia="Times New Roman" w:hAnsi="Arial" w:cs="Arial"/>
          <w:sz w:val="20"/>
          <w:szCs w:val="20"/>
        </w:rPr>
        <w:t>, for flares complying with paragraph (c)(4)(iii) shall be determined by the following equation.</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Log</w:t>
      </w:r>
      <w:r w:rsidRPr="005E5A2A">
        <w:rPr>
          <w:rFonts w:ascii="Arial" w:eastAsia="Times New Roman" w:hAnsi="Arial" w:cs="Arial"/>
          <w:sz w:val="13"/>
          <w:szCs w:val="13"/>
          <w:vertAlign w:val="subscript"/>
        </w:rPr>
        <w:t>10</w:t>
      </w:r>
      <w:r w:rsidRPr="005E5A2A">
        <w:rPr>
          <w:rFonts w:ascii="Arial" w:eastAsia="Times New Roman" w:hAnsi="Arial" w:cs="Arial"/>
          <w:sz w:val="18"/>
          <w:szCs w:val="18"/>
        </w:rPr>
        <w:t xml:space="preserve"> (V</w:t>
      </w:r>
      <w:r w:rsidRPr="005E5A2A">
        <w:rPr>
          <w:rFonts w:ascii="Arial" w:eastAsia="Times New Roman" w:hAnsi="Arial" w:cs="Arial"/>
          <w:sz w:val="13"/>
          <w:szCs w:val="13"/>
          <w:vertAlign w:val="subscript"/>
        </w:rPr>
        <w:t>max</w:t>
      </w:r>
      <w:r w:rsidRPr="005E5A2A">
        <w:rPr>
          <w:rFonts w:ascii="Arial" w:eastAsia="Times New Roman" w:hAnsi="Arial" w:cs="Arial"/>
          <w:sz w:val="18"/>
          <w:szCs w:val="18"/>
        </w:rPr>
        <w:t>)=(H</w:t>
      </w:r>
      <w:r w:rsidRPr="005E5A2A">
        <w:rPr>
          <w:rFonts w:ascii="Arial" w:eastAsia="Times New Roman" w:hAnsi="Arial" w:cs="Arial"/>
          <w:sz w:val="13"/>
          <w:szCs w:val="13"/>
          <w:vertAlign w:val="subscript"/>
        </w:rPr>
        <w:t>T</w:t>
      </w:r>
      <w:r w:rsidRPr="005E5A2A">
        <w:rPr>
          <w:rFonts w:ascii="Arial" w:eastAsia="Times New Roman" w:hAnsi="Arial" w:cs="Arial"/>
          <w:sz w:val="18"/>
          <w:szCs w:val="18"/>
        </w:rPr>
        <w:t>+28.8)/31.7</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V</w:t>
      </w:r>
      <w:r w:rsidRPr="005E5A2A">
        <w:rPr>
          <w:rFonts w:ascii="Arial" w:eastAsia="Times New Roman" w:hAnsi="Arial" w:cs="Arial"/>
          <w:sz w:val="13"/>
          <w:szCs w:val="13"/>
          <w:vertAlign w:val="subscript"/>
        </w:rPr>
        <w:t>max</w:t>
      </w:r>
      <w:r w:rsidRPr="005E5A2A">
        <w:rPr>
          <w:rFonts w:ascii="Arial" w:eastAsia="Times New Roman" w:hAnsi="Arial" w:cs="Arial"/>
          <w:sz w:val="18"/>
          <w:szCs w:val="18"/>
        </w:rPr>
        <w:t xml:space="preserve"> = Maximum permitted velocity, M/sec</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28.8=Constant</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31.7=Constant</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H</w:t>
      </w:r>
      <w:r w:rsidRPr="005E5A2A">
        <w:rPr>
          <w:rFonts w:ascii="Arial" w:eastAsia="Times New Roman" w:hAnsi="Arial" w:cs="Arial"/>
          <w:sz w:val="13"/>
          <w:szCs w:val="13"/>
          <w:vertAlign w:val="subscript"/>
        </w:rPr>
        <w:t>T</w:t>
      </w:r>
      <w:r w:rsidRPr="005E5A2A">
        <w:rPr>
          <w:rFonts w:ascii="Arial" w:eastAsia="Times New Roman" w:hAnsi="Arial" w:cs="Arial"/>
          <w:sz w:val="18"/>
          <w:szCs w:val="18"/>
        </w:rPr>
        <w:t xml:space="preserve"> = The net heating value as determined in paragraph (f)(3).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 The maximum permitted velocity, V</w:t>
      </w:r>
      <w:r w:rsidRPr="005E5A2A">
        <w:rPr>
          <w:rFonts w:ascii="Arial" w:eastAsia="Times New Roman" w:hAnsi="Arial" w:cs="Arial"/>
          <w:sz w:val="14"/>
          <w:szCs w:val="14"/>
          <w:vertAlign w:val="subscript"/>
        </w:rPr>
        <w:t>max</w:t>
      </w:r>
      <w:r w:rsidRPr="005E5A2A">
        <w:rPr>
          <w:rFonts w:ascii="Arial" w:eastAsia="Times New Roman" w:hAnsi="Arial" w:cs="Arial"/>
          <w:sz w:val="20"/>
          <w:szCs w:val="20"/>
        </w:rPr>
        <w:t>, for air-assisted flares shall be determined by the following equation.</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lastRenderedPageBreak/>
        <w:t>V</w:t>
      </w:r>
      <w:r w:rsidRPr="005E5A2A">
        <w:rPr>
          <w:rFonts w:ascii="Arial" w:eastAsia="Times New Roman" w:hAnsi="Arial" w:cs="Arial"/>
          <w:sz w:val="13"/>
          <w:szCs w:val="13"/>
          <w:vertAlign w:val="subscript"/>
        </w:rPr>
        <w:t>max</w:t>
      </w:r>
      <w:r w:rsidRPr="005E5A2A">
        <w:rPr>
          <w:rFonts w:ascii="Arial" w:eastAsia="Times New Roman" w:hAnsi="Arial" w:cs="Arial"/>
          <w:sz w:val="18"/>
          <w:szCs w:val="18"/>
        </w:rPr>
        <w:t xml:space="preserve"> = 8.706+0.7084 (H</w:t>
      </w:r>
      <w:r w:rsidRPr="005E5A2A">
        <w:rPr>
          <w:rFonts w:ascii="Arial" w:eastAsia="Times New Roman" w:hAnsi="Arial" w:cs="Arial"/>
          <w:sz w:val="13"/>
          <w:szCs w:val="13"/>
          <w:vertAlign w:val="subscript"/>
        </w:rPr>
        <w:t>T</w:t>
      </w:r>
      <w:r w:rsidRPr="005E5A2A">
        <w:rPr>
          <w:rFonts w:ascii="Arial" w:eastAsia="Times New Roman" w:hAnsi="Arial" w:cs="Arial"/>
          <w:sz w:val="18"/>
          <w:szCs w:val="18"/>
        </w:rPr>
        <w:t>)</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V</w:t>
      </w:r>
      <w:r w:rsidRPr="005E5A2A">
        <w:rPr>
          <w:rFonts w:ascii="Arial" w:eastAsia="Times New Roman" w:hAnsi="Arial" w:cs="Arial"/>
          <w:sz w:val="13"/>
          <w:szCs w:val="13"/>
          <w:vertAlign w:val="subscript"/>
        </w:rPr>
        <w:t>max</w:t>
      </w:r>
      <w:r w:rsidRPr="005E5A2A">
        <w:rPr>
          <w:rFonts w:ascii="Arial" w:eastAsia="Times New Roman" w:hAnsi="Arial" w:cs="Arial"/>
          <w:sz w:val="18"/>
          <w:szCs w:val="18"/>
        </w:rPr>
        <w:t xml:space="preserve"> = Maximum permitted velocity, m/sec</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8.706=Constant</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0.7084=Constant</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H</w:t>
      </w:r>
      <w:r w:rsidRPr="005E5A2A">
        <w:rPr>
          <w:rFonts w:ascii="Arial" w:eastAsia="Times New Roman" w:hAnsi="Arial" w:cs="Arial"/>
          <w:sz w:val="13"/>
          <w:szCs w:val="13"/>
          <w:vertAlign w:val="subscript"/>
        </w:rPr>
        <w:t>T</w:t>
      </w:r>
      <w:r w:rsidRPr="005E5A2A">
        <w:rPr>
          <w:rFonts w:ascii="Arial" w:eastAsia="Times New Roman" w:hAnsi="Arial" w:cs="Arial"/>
          <w:sz w:val="18"/>
          <w:szCs w:val="18"/>
        </w:rPr>
        <w:t xml:space="preserve"> = The net heating value as determined in paragraph (f)(3).</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(g) </w:t>
      </w:r>
      <w:r w:rsidRPr="005E5A2A">
        <w:rPr>
          <w:rFonts w:ascii="Arial" w:eastAsia="Times New Roman" w:hAnsi="Arial" w:cs="Arial"/>
          <w:i/>
          <w:iCs/>
          <w:sz w:val="20"/>
          <w:szCs w:val="20"/>
        </w:rPr>
        <w:t>Alternative work practice for monitoring equipment for leaks.</w:t>
      </w:r>
      <w:r w:rsidRPr="005E5A2A">
        <w:rPr>
          <w:rFonts w:ascii="Arial" w:eastAsia="Times New Roman" w:hAnsi="Arial" w:cs="Arial"/>
          <w:sz w:val="20"/>
          <w:szCs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w:t>
      </w:r>
      <w:r w:rsidRPr="005E5A2A">
        <w:rPr>
          <w:rFonts w:ascii="Arial" w:eastAsia="Times New Roman" w:hAnsi="Arial" w:cs="Arial"/>
          <w:i/>
          <w:iCs/>
          <w:sz w:val="20"/>
          <w:szCs w:val="20"/>
        </w:rPr>
        <w:t>Applicable subpart</w:t>
      </w:r>
      <w:r w:rsidRPr="005E5A2A">
        <w:rPr>
          <w:rFonts w:ascii="Arial" w:eastAsia="Times New Roman" w:hAnsi="Arial" w:cs="Arial"/>
          <w:sz w:val="20"/>
          <w:szCs w:val="20"/>
        </w:rPr>
        <w:t xml:space="preserve"> means the subpart in 40 CFR parts 60, 61, 63, or 65 that requires monitoring of equipment with a 40 CFR part 60, Appendix A-7, Method 21 monitor.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w:t>
      </w:r>
      <w:r w:rsidRPr="005E5A2A">
        <w:rPr>
          <w:rFonts w:ascii="Arial" w:eastAsia="Times New Roman" w:hAnsi="Arial" w:cs="Arial"/>
          <w:i/>
          <w:iCs/>
          <w:sz w:val="20"/>
          <w:szCs w:val="20"/>
        </w:rPr>
        <w:t>Equipment</w:t>
      </w:r>
      <w:r w:rsidRPr="005E5A2A">
        <w:rPr>
          <w:rFonts w:ascii="Arial" w:eastAsia="Times New Roman" w:hAnsi="Arial" w:cs="Arial"/>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w:t>
      </w:r>
      <w:r w:rsidRPr="005E5A2A">
        <w:rPr>
          <w:rFonts w:ascii="Arial" w:eastAsia="Times New Roman" w:hAnsi="Arial" w:cs="Arial"/>
          <w:i/>
          <w:iCs/>
          <w:sz w:val="20"/>
          <w:szCs w:val="20"/>
        </w:rPr>
        <w:t>Imaging</w:t>
      </w:r>
      <w:r w:rsidRPr="005E5A2A">
        <w:rPr>
          <w:rFonts w:ascii="Arial" w:eastAsia="Times New Roman" w:hAnsi="Arial" w:cs="Arial"/>
          <w:sz w:val="20"/>
          <w:szCs w:val="20"/>
        </w:rPr>
        <w:t xml:space="preserve"> means making visible emissions that may otherwise be invisible to the naked eye.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w:t>
      </w:r>
      <w:r w:rsidRPr="005E5A2A">
        <w:rPr>
          <w:rFonts w:ascii="Arial" w:eastAsia="Times New Roman" w:hAnsi="Arial" w:cs="Arial"/>
          <w:i/>
          <w:iCs/>
          <w:sz w:val="20"/>
          <w:szCs w:val="20"/>
        </w:rPr>
        <w:t>Optical gas imaging instrument</w:t>
      </w:r>
      <w:r w:rsidRPr="005E5A2A">
        <w:rPr>
          <w:rFonts w:ascii="Arial" w:eastAsia="Times New Roman" w:hAnsi="Arial" w:cs="Arial"/>
          <w:sz w:val="20"/>
          <w:szCs w:val="20"/>
        </w:rPr>
        <w:t xml:space="preserve"> means an instrument that makes visible emissions that may otherwise be invisible to the naked eye.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(5) </w:t>
      </w:r>
      <w:r w:rsidRPr="005E5A2A">
        <w:rPr>
          <w:rFonts w:ascii="Arial" w:eastAsia="Times New Roman" w:hAnsi="Arial" w:cs="Arial"/>
          <w:i/>
          <w:iCs/>
          <w:sz w:val="20"/>
          <w:szCs w:val="20"/>
        </w:rPr>
        <w:t>Repair</w:t>
      </w:r>
      <w:r w:rsidRPr="005E5A2A">
        <w:rPr>
          <w:rFonts w:ascii="Arial" w:eastAsia="Times New Roman" w:hAnsi="Arial" w:cs="Arial"/>
          <w:sz w:val="20"/>
          <w:szCs w:val="20"/>
        </w:rPr>
        <w:t xml:space="preserve"> means that equipment is adjusted, or otherwise altered, in order to eliminate a leak.</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(6) </w:t>
      </w:r>
      <w:r w:rsidRPr="005E5A2A">
        <w:rPr>
          <w:rFonts w:ascii="Arial" w:eastAsia="Times New Roman" w:hAnsi="Arial" w:cs="Arial"/>
          <w:i/>
          <w:iCs/>
          <w:sz w:val="20"/>
          <w:szCs w:val="20"/>
        </w:rPr>
        <w:t>Leak</w:t>
      </w:r>
      <w:r w:rsidRPr="005E5A2A">
        <w:rPr>
          <w:rFonts w:ascii="Arial" w:eastAsia="Times New Roman" w:hAnsi="Arial" w:cs="Arial"/>
          <w:sz w:val="20"/>
          <w:szCs w:val="20"/>
        </w:rPr>
        <w:t xml:space="preserve"> means: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Any emissions imaged by the optical gas instrument;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Indications of liquids dripping;</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(iii) Indications by a sensor that a seal or barrier fluid system has failed; or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(iv) Screening results using a 40 CFR part 60, Appendix A-7, Method 21 monitor that exceed the leak definition in the applicable subpart to which the equipment is subject.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(h) The alternative work practice standard for monitoring equipment for leaks is available to all subparts in 40 CFR parts 60, 61, 63, and 65 that require monitoring of equipment with a 40 CFR part 60, Appendix A-7, Method 21 monitor.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(1) An owner or operator of an affected source subject to CFR parts 60, 61, 63, or 65 can choose to comply with the alternative work practice requirements in paragraph (i) of this section instead of using the </w:t>
      </w:r>
      <w:r w:rsidRPr="005E5A2A">
        <w:rPr>
          <w:rFonts w:ascii="Arial" w:eastAsia="Times New Roman" w:hAnsi="Arial" w:cs="Arial"/>
          <w:sz w:val="20"/>
          <w:szCs w:val="20"/>
        </w:rPr>
        <w:lastRenderedPageBreak/>
        <w:t>40 CFR part 60, Appendix A-7, Method 21 monitor to identify leaking equipment. The owner or operator must document the equipment, process units, and facilities for which the alternative work practice will be used to identify leaks.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(2) Any leak detected when following the leak survey procedure in paragraph (i)(3) of this section must be identified for repair as required in the applicable subpart.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 The schedule for repair is as required in the applicable subpart.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(6) When this alternative work practice is used for detecting leaking equipment the following are not applicable for the equipment being monitored: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Skip period leak detection and repair;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Quality improvement plans; or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(iii) Complying with standards for allowable percentage of valves and pumps to leak.</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An owner or operator of an affected source who chooses to use the alternative work practice must comply with the requirements of paragraphs (i)(1) through (i)(5)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(1) Instrument Specifications. The optical gas imaging instrument must comply with the requirements in (i)(1)(i) and (i)(1)(ii)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Provide a date and time stamp for video records of every monitoring event.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w:t>
      </w:r>
      <w:r w:rsidRPr="005E5A2A">
        <w:rPr>
          <w:rFonts w:ascii="Arial" w:eastAsia="Times New Roman" w:hAnsi="Arial" w:cs="Arial"/>
          <w:sz w:val="20"/>
          <w:szCs w:val="20"/>
        </w:rPr>
        <w:lastRenderedPageBreak/>
        <w:t>method to demonstrate daily instrument checks has been approved in accordance with paragraph (i)(2)(v)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Calculate the mass flow rate to be used in the daily instrument check by following the procedures in paragraphs (i)(2)(i)(A) and (i)(2)(i)(B)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noProof/>
          <w:sz w:val="20"/>
          <w:szCs w:val="20"/>
        </w:rPr>
        <w:drawing>
          <wp:inline distT="0" distB="0" distL="0" distR="0">
            <wp:extent cx="819150" cy="342265"/>
            <wp:effectExtent l="0" t="0" r="0" b="635"/>
            <wp:docPr id="4" name="Picture 4"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22de08.007.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19150" cy="342265"/>
                    </a:xfrm>
                    <a:prstGeom prst="rect">
                      <a:avLst/>
                    </a:prstGeom>
                    <a:noFill/>
                    <a:ln>
                      <a:noFill/>
                    </a:ln>
                  </pic:spPr>
                </pic:pic>
              </a:graphicData>
            </a:graphic>
          </wp:inline>
        </w:drawing>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hyperlink r:id="rId53" w:history="1">
        <w:r w:rsidRPr="005E5A2A">
          <w:rPr>
            <w:rFonts w:ascii="Arial" w:eastAsia="Times New Roman" w:hAnsi="Arial" w:cs="Arial"/>
            <w:color w:val="0000FF"/>
            <w:sz w:val="17"/>
            <w:szCs w:val="17"/>
          </w:rPr>
          <w:t>View or download PDF</w:t>
        </w:r>
      </w:hyperlink>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Where:</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E</w:t>
      </w:r>
      <w:r w:rsidRPr="005E5A2A">
        <w:rPr>
          <w:rFonts w:ascii="Arial" w:eastAsia="Times New Roman" w:hAnsi="Arial" w:cs="Arial"/>
          <w:sz w:val="13"/>
          <w:szCs w:val="13"/>
          <w:vertAlign w:val="subscript"/>
        </w:rPr>
        <w:t>dic</w:t>
      </w:r>
      <w:r w:rsidRPr="005E5A2A">
        <w:rPr>
          <w:rFonts w:ascii="Arial" w:eastAsia="Times New Roman" w:hAnsi="Arial" w:cs="Arial"/>
          <w:sz w:val="18"/>
          <w:szCs w:val="18"/>
        </w:rPr>
        <w:t xml:space="preserve"> = Mass flow rate for the daily instrument check, grams per hour </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x</w:t>
      </w:r>
      <w:r w:rsidRPr="005E5A2A">
        <w:rPr>
          <w:rFonts w:ascii="Arial" w:eastAsia="Times New Roman" w:hAnsi="Arial" w:cs="Arial"/>
          <w:sz w:val="13"/>
          <w:szCs w:val="13"/>
          <w:vertAlign w:val="subscript"/>
        </w:rPr>
        <w:t>i</w:t>
      </w:r>
      <w:r w:rsidRPr="005E5A2A">
        <w:rPr>
          <w:rFonts w:ascii="Arial" w:eastAsia="Times New Roman" w:hAnsi="Arial" w:cs="Arial"/>
          <w:sz w:val="18"/>
          <w:szCs w:val="18"/>
        </w:rPr>
        <w:t xml:space="preserve"> = Mass fraction of detectable chemical(s) i seen by the optical gas imaging instrument, within the distance to be used in paragraph (i)(2)(iv)(B) of this section, at or below the standard detection sensitivity level, E</w:t>
      </w:r>
      <w:r w:rsidRPr="005E5A2A">
        <w:rPr>
          <w:rFonts w:ascii="Arial" w:eastAsia="Times New Roman" w:hAnsi="Arial" w:cs="Arial"/>
          <w:sz w:val="13"/>
          <w:szCs w:val="13"/>
          <w:vertAlign w:val="subscript"/>
        </w:rPr>
        <w:t>sds.</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E</w:t>
      </w:r>
      <w:r w:rsidRPr="005E5A2A">
        <w:rPr>
          <w:rFonts w:ascii="Arial" w:eastAsia="Times New Roman" w:hAnsi="Arial" w:cs="Arial"/>
          <w:sz w:val="13"/>
          <w:szCs w:val="13"/>
          <w:vertAlign w:val="subscript"/>
        </w:rPr>
        <w:t>sds</w:t>
      </w:r>
      <w:r w:rsidRPr="005E5A2A">
        <w:rPr>
          <w:rFonts w:ascii="Arial" w:eastAsia="Times New Roman" w:hAnsi="Arial" w:cs="Arial"/>
          <w:sz w:val="18"/>
          <w:szCs w:val="18"/>
        </w:rPr>
        <w:t xml:space="preserve"> = Standard detection sensitivity level from Table 1 to subpart A, grams per hour </w:t>
      </w:r>
    </w:p>
    <w:p w:rsidR="005E5A2A" w:rsidRPr="005E5A2A" w:rsidRDefault="005E5A2A" w:rsidP="005E5A2A">
      <w:pPr>
        <w:spacing w:before="200" w:after="100" w:line="240" w:lineRule="auto"/>
        <w:ind w:left="960" w:hanging="960"/>
        <w:rPr>
          <w:rFonts w:ascii="Arial" w:eastAsia="Times New Roman" w:hAnsi="Arial" w:cs="Arial"/>
          <w:sz w:val="18"/>
          <w:szCs w:val="18"/>
        </w:rPr>
      </w:pPr>
      <w:r w:rsidRPr="005E5A2A">
        <w:rPr>
          <w:rFonts w:ascii="Arial" w:eastAsia="Times New Roman" w:hAnsi="Arial" w:cs="Arial"/>
          <w:sz w:val="18"/>
          <w:szCs w:val="18"/>
        </w:rPr>
        <w:t>k = Total number of detectable chemicals emitted from the leaking equipment and seen by the optical gas imaging instrument.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Start the optical gas imaging instrument according to the manufacturer's instructions, ensuring that all appropriate settings conform to the manufacturer's instructions.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(iii) Use any gas chosen by the user that can be viewed by the optical gas imaging instrument and that has a purity of no less than 98 percent.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(iv) Establish a mass flow rate by using the following procedures: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(A) Provide a source of gas where it will be in the field of view of the optical gas imaging instrument.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 Repeat the procedures specified in paragraphs (i)(2)(ii) through (i)(2)(iv) of this section for each configuration of the optical gas imaging instrument used during the leak survey.</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(vi) To use an alternative method to demonstrate daily instrument checks, apply to the Administrator for approval of the alternative under §60.13(i).</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(4) Recordkeeping. You must keep the records described in paragraphs (i)(4)(i) through (i)(4)(vii)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 The equipment, processes, and facilities for which the owner or operator chooses to use the alternative work practice.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 The detection sensitivity level selected from Table 1 to subpart A of this part for the optical gas imaging instrument.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(iii) The analysis to determine the piece of equipment in contact with the lowest mass fraction of chemicals that are detectable, as specified in paragraph (i)(2)(i)(A)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(iv) The technical basis for the mass fraction of detectable chemicals used in the equation in paragraph (i)(2)(i)(B) of this section.</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(5) Reporting. Submit the reports required in the applicable subpart. Submit the records of the annual Method 21 screening required in paragraph (h)(7) of this section to the Administrator via e-mail to </w:t>
      </w:r>
      <w:r w:rsidRPr="005E5A2A">
        <w:rPr>
          <w:rFonts w:ascii="Arial" w:eastAsia="Times New Roman" w:hAnsi="Arial" w:cs="Arial"/>
          <w:i/>
          <w:iCs/>
          <w:sz w:val="20"/>
          <w:szCs w:val="20"/>
        </w:rPr>
        <w:t>CCG-AWP@EPA.GOV.</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[51 FR 2701, Jan. 21, 1986, as amended at 63 FR 24444, May 4, 1998; 65 FR 61752, Oct. 17, 2000; 73 FR 78209, Dec. 22, 2008]</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54"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3" name="Picture 3"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after="100" w:line="240" w:lineRule="auto"/>
        <w:outlineLvl w:val="1"/>
        <w:rPr>
          <w:rFonts w:ascii="Arial" w:eastAsia="Times New Roman" w:hAnsi="Arial" w:cs="Arial"/>
          <w:b/>
          <w:bCs/>
          <w:sz w:val="20"/>
          <w:szCs w:val="20"/>
        </w:rPr>
      </w:pPr>
      <w:bookmarkStart w:id="20" w:name="40:7.0.1.1.1.1.151.19"/>
      <w:bookmarkEnd w:id="20"/>
      <w:r w:rsidRPr="005E5A2A">
        <w:rPr>
          <w:rFonts w:ascii="Arial" w:eastAsia="Times New Roman" w:hAnsi="Arial" w:cs="Arial"/>
          <w:b/>
          <w:bCs/>
          <w:sz w:val="20"/>
          <w:szCs w:val="20"/>
        </w:rPr>
        <w:t>§60.19   General notification and reporting requirements.</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lastRenderedPageBreak/>
        <w:t xml:space="preserve">(a) For the purposes of this part, time periods specified in days shall be measured in calendar days, even if the word “calendar” is absent, unless otherwise specified in an applicable requirement.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(ii) An owner or operator shall request the adjustment provided for in paragraphs (f)(2) and (f)(3) of this section each time he or she wishes to change an applicable time period or postmark deadline specified in this part.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w:t>
      </w:r>
      <w:r w:rsidRPr="005E5A2A">
        <w:rPr>
          <w:rFonts w:ascii="Arial" w:eastAsia="Times New Roman" w:hAnsi="Arial" w:cs="Arial"/>
          <w:sz w:val="20"/>
          <w:szCs w:val="20"/>
        </w:rPr>
        <w:lastRenderedPageBreak/>
        <w:t xml:space="preserve">practicable before the subject activity is required to take place. The owner or operator shall include in the request whatever information he or she considers useful to convince the Administrator that an adjustment is warranted.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rPr>
        <w:t xml:space="preserve">(4) If the Administrator is unable to meet a specified deadline, he or she will notify the owner or operator of any significant delay and inform the owner or operator of the amended schedule. </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 xml:space="preserve">[59 FR 12428, Mar. 16, 1994, as amended at 64 FR 7463, Feb. 12, 1998] </w:t>
      </w:r>
    </w:p>
    <w:p w:rsidR="005E5A2A" w:rsidRPr="005E5A2A" w:rsidRDefault="005E5A2A" w:rsidP="005E5A2A">
      <w:pPr>
        <w:spacing w:before="200" w:after="100" w:afterAutospacing="1" w:line="240" w:lineRule="auto"/>
        <w:rPr>
          <w:rFonts w:ascii="Arial" w:eastAsia="Times New Roman" w:hAnsi="Arial" w:cs="Arial"/>
          <w:sz w:val="20"/>
          <w:szCs w:val="20"/>
        </w:rPr>
      </w:pPr>
      <w:hyperlink r:id="rId55"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2" name="Picture 2"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p w:rsidR="005E5A2A" w:rsidRPr="005E5A2A" w:rsidRDefault="005E5A2A" w:rsidP="005E5A2A">
      <w:pPr>
        <w:spacing w:before="200" w:line="240" w:lineRule="auto"/>
        <w:outlineLvl w:val="1"/>
        <w:rPr>
          <w:rFonts w:ascii="Arial" w:eastAsia="Times New Roman" w:hAnsi="Arial" w:cs="Arial"/>
          <w:b/>
          <w:bCs/>
          <w:sz w:val="20"/>
          <w:szCs w:val="20"/>
        </w:rPr>
      </w:pPr>
      <w:bookmarkStart w:id="21" w:name="40:7.0.1.1.1.1.151.20.1"/>
      <w:bookmarkEnd w:id="21"/>
      <w:r w:rsidRPr="005E5A2A">
        <w:rPr>
          <w:rFonts w:ascii="Arial" w:eastAsia="Times New Roman" w:hAnsi="Arial" w:cs="Arial"/>
          <w:b/>
          <w:bCs/>
          <w:sz w:val="20"/>
          <w:szCs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341"/>
        <w:gridCol w:w="4003"/>
      </w:tblGrid>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Monitoring frequency per subpart</w:t>
            </w:r>
            <w:r w:rsidRPr="005E5A2A">
              <w:rPr>
                <w:rFonts w:ascii="Arial" w:eastAsia="Times New Roman" w:hAnsi="Arial" w:cs="Arial"/>
                <w:b/>
                <w:bCs/>
                <w:sz w:val="20"/>
                <w:szCs w:val="20"/>
                <w:vertAlign w:val="superscript"/>
              </w:rPr>
              <w:t>a</w:t>
            </w:r>
            <w:r w:rsidRPr="005E5A2A">
              <w:rPr>
                <w:rFonts w:ascii="Arial" w:eastAsia="Times New Roman"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5A2A" w:rsidRPr="005E5A2A" w:rsidRDefault="005E5A2A" w:rsidP="005E5A2A">
            <w:pPr>
              <w:spacing w:after="0" w:line="240" w:lineRule="auto"/>
              <w:rPr>
                <w:rFonts w:ascii="Arial" w:eastAsia="Times New Roman" w:hAnsi="Arial" w:cs="Arial"/>
                <w:b/>
                <w:bCs/>
                <w:sz w:val="20"/>
                <w:szCs w:val="20"/>
              </w:rPr>
            </w:pPr>
            <w:r w:rsidRPr="005E5A2A">
              <w:rPr>
                <w:rFonts w:ascii="Arial" w:eastAsia="Times New Roman" w:hAnsi="Arial" w:cs="Arial"/>
                <w:b/>
                <w:bCs/>
                <w:sz w:val="20"/>
                <w:szCs w:val="20"/>
              </w:rPr>
              <w:t xml:space="preserve">Detection sensitivity level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60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85 </w:t>
            </w:r>
          </w:p>
        </w:tc>
      </w:tr>
      <w:tr w:rsidR="005E5A2A" w:rsidRPr="005E5A2A" w:rsidTr="005E5A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5E5A2A" w:rsidRPr="005E5A2A" w:rsidRDefault="005E5A2A" w:rsidP="005E5A2A">
            <w:pPr>
              <w:spacing w:after="0" w:line="240" w:lineRule="auto"/>
              <w:rPr>
                <w:rFonts w:ascii="Arial" w:eastAsia="Times New Roman" w:hAnsi="Arial" w:cs="Arial"/>
                <w:sz w:val="20"/>
                <w:szCs w:val="20"/>
              </w:rPr>
            </w:pPr>
            <w:r w:rsidRPr="005E5A2A">
              <w:rPr>
                <w:rFonts w:ascii="Arial" w:eastAsia="Times New Roman" w:hAnsi="Arial" w:cs="Arial"/>
                <w:sz w:val="20"/>
                <w:szCs w:val="20"/>
              </w:rPr>
              <w:t xml:space="preserve">100 </w:t>
            </w:r>
          </w:p>
        </w:tc>
      </w:tr>
    </w:tbl>
    <w:p w:rsidR="005E5A2A" w:rsidRPr="005E5A2A" w:rsidRDefault="005E5A2A" w:rsidP="005E5A2A">
      <w:pPr>
        <w:spacing w:before="100" w:beforeAutospacing="1" w:after="100" w:afterAutospacing="1" w:line="240" w:lineRule="auto"/>
        <w:ind w:firstLine="480"/>
        <w:rPr>
          <w:rFonts w:ascii="Arial" w:eastAsia="Times New Roman" w:hAnsi="Arial" w:cs="Arial"/>
          <w:sz w:val="20"/>
          <w:szCs w:val="20"/>
        </w:rPr>
      </w:pPr>
      <w:r w:rsidRPr="005E5A2A">
        <w:rPr>
          <w:rFonts w:ascii="Arial" w:eastAsia="Times New Roman" w:hAnsi="Arial" w:cs="Arial"/>
          <w:sz w:val="20"/>
          <w:szCs w:val="20"/>
          <w:vertAlign w:val="superscript"/>
        </w:rPr>
        <w:t>a</w:t>
      </w:r>
      <w:r w:rsidRPr="005E5A2A">
        <w:rPr>
          <w:rFonts w:ascii="Arial" w:eastAsia="Times New Roman" w:hAnsi="Arial" w:cs="Arial"/>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5E5A2A" w:rsidRPr="005E5A2A" w:rsidRDefault="005E5A2A" w:rsidP="005E5A2A">
      <w:pPr>
        <w:spacing w:before="200" w:after="100" w:afterAutospacing="1" w:line="240" w:lineRule="auto"/>
        <w:rPr>
          <w:rFonts w:ascii="Arial" w:eastAsia="Times New Roman" w:hAnsi="Arial" w:cs="Arial"/>
          <w:sz w:val="18"/>
          <w:szCs w:val="18"/>
        </w:rPr>
      </w:pPr>
      <w:r w:rsidRPr="005E5A2A">
        <w:rPr>
          <w:rFonts w:ascii="Arial" w:eastAsia="Times New Roman" w:hAnsi="Arial" w:cs="Arial"/>
          <w:sz w:val="18"/>
          <w:szCs w:val="18"/>
        </w:rPr>
        <w:t>[73 FR 78211, Dec. 22, 2008]</w:t>
      </w:r>
    </w:p>
    <w:p w:rsidR="00405381" w:rsidRDefault="005E5A2A" w:rsidP="005E5A2A">
      <w:hyperlink r:id="rId56" w:anchor="_top" w:history="1">
        <w:r w:rsidRPr="005E5A2A">
          <w:rPr>
            <w:rFonts w:ascii="Arial" w:eastAsia="Times New Roman" w:hAnsi="Arial" w:cs="Arial"/>
            <w:noProof/>
            <w:color w:val="0000FF"/>
            <w:sz w:val="17"/>
            <w:szCs w:val="17"/>
          </w:rPr>
          <w:drawing>
            <wp:inline distT="0" distB="0" distL="0" distR="0">
              <wp:extent cx="151765" cy="151765"/>
              <wp:effectExtent l="0" t="0" r="635" b="635"/>
              <wp:docPr id="1" name="Picture 1" descr="return arrow">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5E5A2A">
          <w:rPr>
            <w:rFonts w:ascii="Arial" w:eastAsia="Times New Roman" w:hAnsi="Arial" w:cs="Arial"/>
            <w:color w:val="0000FF"/>
            <w:sz w:val="17"/>
            <w:szCs w:val="17"/>
          </w:rPr>
          <w:t>Back to Top</w:t>
        </w:r>
      </w:hyperlink>
    </w:p>
    <w:sectPr w:rsidR="00405381">
      <w:footerReference w:type="default" r:id="rId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A2A" w:rsidRDefault="005E5A2A" w:rsidP="005E5A2A">
      <w:pPr>
        <w:spacing w:after="0" w:line="240" w:lineRule="auto"/>
      </w:pPr>
      <w:r>
        <w:separator/>
      </w:r>
    </w:p>
  </w:endnote>
  <w:endnote w:type="continuationSeparator" w:id="0">
    <w:p w:rsidR="005E5A2A" w:rsidRDefault="005E5A2A" w:rsidP="005E5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239284"/>
      <w:docPartObj>
        <w:docPartGallery w:val="Page Numbers (Bottom of Page)"/>
        <w:docPartUnique/>
      </w:docPartObj>
    </w:sdtPr>
    <w:sdtEndPr>
      <w:rPr>
        <w:noProof/>
      </w:rPr>
    </w:sdtEndPr>
    <w:sdtContent>
      <w:p w:rsidR="005E5A2A" w:rsidRDefault="005E5A2A">
        <w:pPr>
          <w:pStyle w:val="Footer"/>
          <w:jc w:val="center"/>
        </w:pPr>
        <w:r>
          <w:fldChar w:fldCharType="begin"/>
        </w:r>
        <w:r>
          <w:instrText xml:space="preserve"> PAGE   \* MERGEFORMAT </w:instrText>
        </w:r>
        <w:r>
          <w:fldChar w:fldCharType="separate"/>
        </w:r>
        <w:r>
          <w:rPr>
            <w:noProof/>
          </w:rPr>
          <w:t>122</w:t>
        </w:r>
        <w:r>
          <w:rPr>
            <w:noProof/>
          </w:rPr>
          <w:fldChar w:fldCharType="end"/>
        </w:r>
      </w:p>
    </w:sdtContent>
  </w:sdt>
  <w:p w:rsidR="005E5A2A" w:rsidRDefault="005E5A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A2A" w:rsidRDefault="005E5A2A" w:rsidP="005E5A2A">
      <w:pPr>
        <w:spacing w:after="0" w:line="240" w:lineRule="auto"/>
      </w:pPr>
      <w:r>
        <w:separator/>
      </w:r>
    </w:p>
  </w:footnote>
  <w:footnote w:type="continuationSeparator" w:id="0">
    <w:p w:rsidR="005E5A2A" w:rsidRDefault="005E5A2A" w:rsidP="005E5A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7FC"/>
    <w:rsid w:val="00405381"/>
    <w:rsid w:val="005E5A2A"/>
    <w:rsid w:val="00B83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55E5F8-6203-4DDD-980B-47D1D45F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E5A2A"/>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5E5A2A"/>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5E5A2A"/>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5E5A2A"/>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5E5A2A"/>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5A2A"/>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5E5A2A"/>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5E5A2A"/>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5E5A2A"/>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5E5A2A"/>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5E5A2A"/>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5E5A2A"/>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5E5A2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5E5A2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5E5A2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5E5A2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5E5A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5E5A2A"/>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5E5A2A"/>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5E5A2A"/>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5E5A2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5E5A2A"/>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5E5A2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5E5A2A"/>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5E5A2A"/>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5E5A2A"/>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5E5A2A"/>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5E5A2A"/>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5E5A2A"/>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5E5A2A"/>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5E5A2A"/>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5E5A2A"/>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5E5A2A"/>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5E5A2A"/>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5E5A2A"/>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5E5A2A"/>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5E5A2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5E5A2A"/>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5E5A2A"/>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5E5A2A"/>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5E5A2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5E5A2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5E5A2A"/>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5E5A2A"/>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5E5A2A"/>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5E5A2A"/>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5E5A2A"/>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5E5A2A"/>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5E5A2A"/>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5E5A2A"/>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5E5A2A"/>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5E5A2A"/>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5E5A2A"/>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5E5A2A"/>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5E5A2A"/>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5E5A2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5E5A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5E5A2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5E5A2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5E5A2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5E5A2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5E5A2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5E5A2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5E5A2A"/>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5E5A2A"/>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5E5A2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5E5A2A"/>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5E5A2A"/>
    <w:pPr>
      <w:spacing w:before="200" w:after="100" w:afterAutospacing="1" w:line="240" w:lineRule="auto"/>
    </w:pPr>
    <w:rPr>
      <w:rFonts w:ascii="Times New Roman" w:eastAsia="Times New Roman" w:hAnsi="Times New Roman" w:cs="Times New Roman"/>
      <w:sz w:val="18"/>
      <w:szCs w:val="18"/>
    </w:rPr>
  </w:style>
  <w:style w:type="paragraph" w:customStyle="1" w:styleId="title">
    <w:name w:val="title"/>
    <w:basedOn w:val="Normal"/>
    <w:rsid w:val="005E5A2A"/>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5E5A2A"/>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5E5A2A"/>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5E5A2A"/>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5E5A2A"/>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5E5A2A"/>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5E5A2A"/>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5E5A2A"/>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5E5A2A"/>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5E5A2A"/>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5E5A2A"/>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5E5A2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5E5A2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5E5A2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5E5A2A"/>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5E5A2A"/>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5E5A2A"/>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5E5A2A"/>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5E5A2A"/>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5E5A2A"/>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5E5A2A"/>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5E5A2A"/>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5E5A2A"/>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5E5A2A"/>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5E5A2A"/>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5E5A2A"/>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5E5A2A"/>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5E5A2A"/>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5E5A2A"/>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5E5A2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5E5A2A"/>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5E5A2A"/>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5E5A2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5E5A2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5E5A2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5E5A2A"/>
    <w:rPr>
      <w:shd w:val="clear" w:color="auto" w:fill="FFFFFF"/>
    </w:rPr>
  </w:style>
  <w:style w:type="character" w:customStyle="1" w:styleId="pdash">
    <w:name w:val="pdash"/>
    <w:basedOn w:val="DefaultParagraphFont"/>
    <w:rsid w:val="005E5A2A"/>
    <w:rPr>
      <w:shd w:val="clear" w:color="auto" w:fill="FFFFFF"/>
    </w:rPr>
  </w:style>
  <w:style w:type="character" w:customStyle="1" w:styleId="su1">
    <w:name w:val="su1"/>
    <w:basedOn w:val="DefaultParagraphFont"/>
    <w:rsid w:val="005E5A2A"/>
    <w:rPr>
      <w:smallCaps w:val="0"/>
      <w:sz w:val="17"/>
      <w:szCs w:val="17"/>
      <w:vertAlign w:val="superscript"/>
    </w:rPr>
  </w:style>
  <w:style w:type="paragraph" w:customStyle="1" w:styleId="gpotblnote">
    <w:name w:val="gpotbl_note"/>
    <w:basedOn w:val="Normal"/>
    <w:rsid w:val="005E5A2A"/>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5E5A2A"/>
    <w:rPr>
      <w:i/>
      <w:iCs/>
    </w:rPr>
  </w:style>
  <w:style w:type="paragraph" w:styleId="Header">
    <w:name w:val="header"/>
    <w:basedOn w:val="Normal"/>
    <w:link w:val="HeaderChar"/>
    <w:uiPriority w:val="99"/>
    <w:unhideWhenUsed/>
    <w:rsid w:val="005E5A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5A2A"/>
  </w:style>
  <w:style w:type="paragraph" w:styleId="Footer">
    <w:name w:val="footer"/>
    <w:basedOn w:val="Normal"/>
    <w:link w:val="FooterChar"/>
    <w:uiPriority w:val="99"/>
    <w:unhideWhenUsed/>
    <w:rsid w:val="005E5A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5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909504">
      <w:bodyDiv w:val="1"/>
      <w:marLeft w:val="0"/>
      <w:marRight w:val="0"/>
      <w:marTop w:val="30"/>
      <w:marBottom w:val="750"/>
      <w:divBdr>
        <w:top w:val="none" w:sz="0" w:space="0" w:color="auto"/>
        <w:left w:val="none" w:sz="0" w:space="0" w:color="auto"/>
        <w:bottom w:val="none" w:sz="0" w:space="0" w:color="auto"/>
        <w:right w:val="none" w:sz="0" w:space="0" w:color="auto"/>
      </w:divBdr>
      <w:divsChild>
        <w:div w:id="1929924167">
          <w:marLeft w:val="0"/>
          <w:marRight w:val="0"/>
          <w:marTop w:val="0"/>
          <w:marBottom w:val="0"/>
          <w:divBdr>
            <w:top w:val="none" w:sz="0" w:space="0" w:color="auto"/>
            <w:left w:val="none" w:sz="0" w:space="0" w:color="auto"/>
            <w:bottom w:val="none" w:sz="0" w:space="0" w:color="auto"/>
            <w:right w:val="none" w:sz="0" w:space="0" w:color="auto"/>
          </w:divBdr>
          <w:divsChild>
            <w:div w:id="1558861844">
              <w:marLeft w:val="0"/>
              <w:marRight w:val="0"/>
              <w:marTop w:val="0"/>
              <w:marBottom w:val="0"/>
              <w:divBdr>
                <w:top w:val="none" w:sz="0" w:space="0" w:color="auto"/>
                <w:left w:val="none" w:sz="0" w:space="0" w:color="auto"/>
                <w:bottom w:val="none" w:sz="0" w:space="0" w:color="auto"/>
                <w:right w:val="none" w:sz="0" w:space="0" w:color="auto"/>
              </w:divBdr>
            </w:div>
            <w:div w:id="112790953">
              <w:marLeft w:val="0"/>
              <w:marRight w:val="0"/>
              <w:marTop w:val="0"/>
              <w:marBottom w:val="0"/>
              <w:divBdr>
                <w:top w:val="none" w:sz="0" w:space="0" w:color="auto"/>
                <w:left w:val="none" w:sz="0" w:space="0" w:color="auto"/>
                <w:bottom w:val="none" w:sz="0" w:space="0" w:color="auto"/>
                <w:right w:val="none" w:sz="0" w:space="0" w:color="auto"/>
              </w:divBdr>
            </w:div>
            <w:div w:id="648245719">
              <w:marLeft w:val="0"/>
              <w:marRight w:val="0"/>
              <w:marTop w:val="0"/>
              <w:marBottom w:val="0"/>
              <w:divBdr>
                <w:top w:val="none" w:sz="0" w:space="0" w:color="auto"/>
                <w:left w:val="none" w:sz="0" w:space="0" w:color="auto"/>
                <w:bottom w:val="none" w:sz="0" w:space="0" w:color="auto"/>
                <w:right w:val="none" w:sz="0" w:space="0" w:color="auto"/>
              </w:divBdr>
            </w:div>
            <w:div w:id="1953131125">
              <w:marLeft w:val="0"/>
              <w:marRight w:val="0"/>
              <w:marTop w:val="0"/>
              <w:marBottom w:val="0"/>
              <w:divBdr>
                <w:top w:val="none" w:sz="0" w:space="0" w:color="auto"/>
                <w:left w:val="none" w:sz="0" w:space="0" w:color="auto"/>
                <w:bottom w:val="none" w:sz="0" w:space="0" w:color="auto"/>
                <w:right w:val="none" w:sz="0" w:space="0" w:color="auto"/>
              </w:divBdr>
            </w:div>
            <w:div w:id="595942004">
              <w:marLeft w:val="0"/>
              <w:marRight w:val="0"/>
              <w:marTop w:val="0"/>
              <w:marBottom w:val="0"/>
              <w:divBdr>
                <w:top w:val="none" w:sz="0" w:space="0" w:color="auto"/>
                <w:left w:val="none" w:sz="0" w:space="0" w:color="auto"/>
                <w:bottom w:val="none" w:sz="0" w:space="0" w:color="auto"/>
                <w:right w:val="none" w:sz="0" w:space="0" w:color="auto"/>
              </w:divBdr>
            </w:div>
            <w:div w:id="1231112804">
              <w:marLeft w:val="0"/>
              <w:marRight w:val="0"/>
              <w:marTop w:val="0"/>
              <w:marBottom w:val="0"/>
              <w:divBdr>
                <w:top w:val="none" w:sz="0" w:space="0" w:color="auto"/>
                <w:left w:val="none" w:sz="0" w:space="0" w:color="auto"/>
                <w:bottom w:val="none" w:sz="0" w:space="0" w:color="auto"/>
                <w:right w:val="none" w:sz="0" w:space="0" w:color="auto"/>
              </w:divBdr>
            </w:div>
            <w:div w:id="1908297961">
              <w:marLeft w:val="0"/>
              <w:marRight w:val="0"/>
              <w:marTop w:val="0"/>
              <w:marBottom w:val="0"/>
              <w:divBdr>
                <w:top w:val="none" w:sz="0" w:space="0" w:color="auto"/>
                <w:left w:val="none" w:sz="0" w:space="0" w:color="auto"/>
                <w:bottom w:val="none" w:sz="0" w:space="0" w:color="auto"/>
                <w:right w:val="none" w:sz="0" w:space="0" w:color="auto"/>
              </w:divBdr>
            </w:div>
            <w:div w:id="545142839">
              <w:marLeft w:val="0"/>
              <w:marRight w:val="0"/>
              <w:marTop w:val="0"/>
              <w:marBottom w:val="0"/>
              <w:divBdr>
                <w:top w:val="none" w:sz="0" w:space="0" w:color="auto"/>
                <w:left w:val="none" w:sz="0" w:space="0" w:color="auto"/>
                <w:bottom w:val="none" w:sz="0" w:space="0" w:color="auto"/>
                <w:right w:val="none" w:sz="0" w:space="0" w:color="auto"/>
              </w:divBdr>
            </w:div>
            <w:div w:id="648484624">
              <w:marLeft w:val="0"/>
              <w:marRight w:val="0"/>
              <w:marTop w:val="0"/>
              <w:marBottom w:val="0"/>
              <w:divBdr>
                <w:top w:val="none" w:sz="0" w:space="0" w:color="auto"/>
                <w:left w:val="none" w:sz="0" w:space="0" w:color="auto"/>
                <w:bottom w:val="none" w:sz="0" w:space="0" w:color="auto"/>
                <w:right w:val="none" w:sz="0" w:space="0" w:color="auto"/>
              </w:divBdr>
            </w:div>
            <w:div w:id="1259488982">
              <w:marLeft w:val="0"/>
              <w:marRight w:val="0"/>
              <w:marTop w:val="0"/>
              <w:marBottom w:val="0"/>
              <w:divBdr>
                <w:top w:val="none" w:sz="0" w:space="0" w:color="auto"/>
                <w:left w:val="none" w:sz="0" w:space="0" w:color="auto"/>
                <w:bottom w:val="none" w:sz="0" w:space="0" w:color="auto"/>
                <w:right w:val="none" w:sz="0" w:space="0" w:color="auto"/>
              </w:divBdr>
            </w:div>
            <w:div w:id="800995701">
              <w:marLeft w:val="0"/>
              <w:marRight w:val="0"/>
              <w:marTop w:val="0"/>
              <w:marBottom w:val="0"/>
              <w:divBdr>
                <w:top w:val="none" w:sz="0" w:space="0" w:color="auto"/>
                <w:left w:val="none" w:sz="0" w:space="0" w:color="auto"/>
                <w:bottom w:val="none" w:sz="0" w:space="0" w:color="auto"/>
                <w:right w:val="none" w:sz="0" w:space="0" w:color="auto"/>
              </w:divBdr>
            </w:div>
            <w:div w:id="1622423290">
              <w:marLeft w:val="0"/>
              <w:marRight w:val="0"/>
              <w:marTop w:val="0"/>
              <w:marBottom w:val="0"/>
              <w:divBdr>
                <w:top w:val="none" w:sz="0" w:space="0" w:color="auto"/>
                <w:left w:val="none" w:sz="0" w:space="0" w:color="auto"/>
                <w:bottom w:val="none" w:sz="0" w:space="0" w:color="auto"/>
                <w:right w:val="none" w:sz="0" w:space="0" w:color="auto"/>
              </w:divBdr>
              <w:divsChild>
                <w:div w:id="19829957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32770365">
              <w:marLeft w:val="0"/>
              <w:marRight w:val="0"/>
              <w:marTop w:val="0"/>
              <w:marBottom w:val="0"/>
              <w:divBdr>
                <w:top w:val="none" w:sz="0" w:space="0" w:color="auto"/>
                <w:left w:val="none" w:sz="0" w:space="0" w:color="auto"/>
                <w:bottom w:val="none" w:sz="0" w:space="0" w:color="auto"/>
                <w:right w:val="none" w:sz="0" w:space="0" w:color="auto"/>
              </w:divBdr>
              <w:divsChild>
                <w:div w:id="661782884">
                  <w:marLeft w:val="0"/>
                  <w:marRight w:val="0"/>
                  <w:marTop w:val="0"/>
                  <w:marBottom w:val="0"/>
                  <w:divBdr>
                    <w:top w:val="none" w:sz="0" w:space="0" w:color="auto"/>
                    <w:left w:val="none" w:sz="0" w:space="0" w:color="auto"/>
                    <w:bottom w:val="none" w:sz="0" w:space="0" w:color="auto"/>
                    <w:right w:val="none" w:sz="0" w:space="0" w:color="auto"/>
                  </w:divBdr>
                </w:div>
                <w:div w:id="663167282">
                  <w:marLeft w:val="0"/>
                  <w:marRight w:val="0"/>
                  <w:marTop w:val="0"/>
                  <w:marBottom w:val="0"/>
                  <w:divBdr>
                    <w:top w:val="single" w:sz="12" w:space="0" w:color="000000"/>
                    <w:left w:val="single" w:sz="12" w:space="0" w:color="000000"/>
                    <w:bottom w:val="single" w:sz="12" w:space="0" w:color="000000"/>
                    <w:right w:val="single" w:sz="12" w:space="0" w:color="000000"/>
                  </w:divBdr>
                </w:div>
                <w:div w:id="378164564">
                  <w:marLeft w:val="0"/>
                  <w:marRight w:val="0"/>
                  <w:marTop w:val="0"/>
                  <w:marBottom w:val="0"/>
                  <w:divBdr>
                    <w:top w:val="none" w:sz="0" w:space="0" w:color="auto"/>
                    <w:left w:val="none" w:sz="0" w:space="0" w:color="auto"/>
                    <w:bottom w:val="none" w:sz="0" w:space="0" w:color="auto"/>
                    <w:right w:val="none" w:sz="0" w:space="0" w:color="auto"/>
                  </w:divBdr>
                </w:div>
              </w:divsChild>
            </w:div>
            <w:div w:id="1734770325">
              <w:marLeft w:val="0"/>
              <w:marRight w:val="0"/>
              <w:marTop w:val="0"/>
              <w:marBottom w:val="0"/>
              <w:divBdr>
                <w:top w:val="none" w:sz="0" w:space="0" w:color="auto"/>
                <w:left w:val="none" w:sz="0" w:space="0" w:color="auto"/>
                <w:bottom w:val="none" w:sz="0" w:space="0" w:color="auto"/>
                <w:right w:val="none" w:sz="0" w:space="0" w:color="auto"/>
              </w:divBdr>
              <w:divsChild>
                <w:div w:id="1153136001">
                  <w:marLeft w:val="0"/>
                  <w:marRight w:val="0"/>
                  <w:marTop w:val="0"/>
                  <w:marBottom w:val="0"/>
                  <w:divBdr>
                    <w:top w:val="none" w:sz="0" w:space="0" w:color="auto"/>
                    <w:left w:val="none" w:sz="0" w:space="0" w:color="auto"/>
                    <w:bottom w:val="none" w:sz="0" w:space="0" w:color="auto"/>
                    <w:right w:val="none" w:sz="0" w:space="0" w:color="auto"/>
                  </w:divBdr>
                </w:div>
                <w:div w:id="419985415">
                  <w:marLeft w:val="0"/>
                  <w:marRight w:val="0"/>
                  <w:marTop w:val="0"/>
                  <w:marBottom w:val="0"/>
                  <w:divBdr>
                    <w:top w:val="single" w:sz="12" w:space="0" w:color="000000"/>
                    <w:left w:val="single" w:sz="12" w:space="0" w:color="000000"/>
                    <w:bottom w:val="single" w:sz="12" w:space="0" w:color="000000"/>
                    <w:right w:val="single" w:sz="12" w:space="0" w:color="000000"/>
                  </w:divBdr>
                </w:div>
                <w:div w:id="1518083070">
                  <w:marLeft w:val="0"/>
                  <w:marRight w:val="0"/>
                  <w:marTop w:val="0"/>
                  <w:marBottom w:val="0"/>
                  <w:divBdr>
                    <w:top w:val="none" w:sz="0" w:space="0" w:color="auto"/>
                    <w:left w:val="none" w:sz="0" w:space="0" w:color="auto"/>
                    <w:bottom w:val="none" w:sz="0" w:space="0" w:color="auto"/>
                    <w:right w:val="none" w:sz="0" w:space="0" w:color="auto"/>
                  </w:divBdr>
                </w:div>
              </w:divsChild>
            </w:div>
            <w:div w:id="771825607">
              <w:marLeft w:val="0"/>
              <w:marRight w:val="0"/>
              <w:marTop w:val="0"/>
              <w:marBottom w:val="0"/>
              <w:divBdr>
                <w:top w:val="none" w:sz="0" w:space="0" w:color="auto"/>
                <w:left w:val="none" w:sz="0" w:space="0" w:color="auto"/>
                <w:bottom w:val="none" w:sz="0" w:space="0" w:color="auto"/>
                <w:right w:val="none" w:sz="0" w:space="0" w:color="auto"/>
              </w:divBdr>
              <w:divsChild>
                <w:div w:id="1084686928">
                  <w:marLeft w:val="0"/>
                  <w:marRight w:val="0"/>
                  <w:marTop w:val="0"/>
                  <w:marBottom w:val="0"/>
                  <w:divBdr>
                    <w:top w:val="none" w:sz="0" w:space="0" w:color="auto"/>
                    <w:left w:val="none" w:sz="0" w:space="0" w:color="auto"/>
                    <w:bottom w:val="none" w:sz="0" w:space="0" w:color="auto"/>
                    <w:right w:val="none" w:sz="0" w:space="0" w:color="auto"/>
                  </w:divBdr>
                </w:div>
                <w:div w:id="19940247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67032061">
              <w:marLeft w:val="0"/>
              <w:marRight w:val="0"/>
              <w:marTop w:val="0"/>
              <w:marBottom w:val="0"/>
              <w:divBdr>
                <w:top w:val="none" w:sz="0" w:space="0" w:color="auto"/>
                <w:left w:val="none" w:sz="0" w:space="0" w:color="auto"/>
                <w:bottom w:val="none" w:sz="0" w:space="0" w:color="auto"/>
                <w:right w:val="none" w:sz="0" w:space="0" w:color="auto"/>
              </w:divBdr>
              <w:divsChild>
                <w:div w:id="514610160">
                  <w:marLeft w:val="0"/>
                  <w:marRight w:val="0"/>
                  <w:marTop w:val="0"/>
                  <w:marBottom w:val="0"/>
                  <w:divBdr>
                    <w:top w:val="none" w:sz="0" w:space="0" w:color="auto"/>
                    <w:left w:val="none" w:sz="0" w:space="0" w:color="auto"/>
                    <w:bottom w:val="none" w:sz="0" w:space="0" w:color="auto"/>
                    <w:right w:val="none" w:sz="0" w:space="0" w:color="auto"/>
                  </w:divBdr>
                </w:div>
                <w:div w:id="3619032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3787373">
              <w:marLeft w:val="0"/>
              <w:marRight w:val="0"/>
              <w:marTop w:val="0"/>
              <w:marBottom w:val="0"/>
              <w:divBdr>
                <w:top w:val="none" w:sz="0" w:space="0" w:color="auto"/>
                <w:left w:val="none" w:sz="0" w:space="0" w:color="auto"/>
                <w:bottom w:val="none" w:sz="0" w:space="0" w:color="auto"/>
                <w:right w:val="none" w:sz="0" w:space="0" w:color="auto"/>
              </w:divBdr>
              <w:divsChild>
                <w:div w:id="85002125">
                  <w:marLeft w:val="0"/>
                  <w:marRight w:val="0"/>
                  <w:marTop w:val="0"/>
                  <w:marBottom w:val="0"/>
                  <w:divBdr>
                    <w:top w:val="none" w:sz="0" w:space="0" w:color="auto"/>
                    <w:left w:val="none" w:sz="0" w:space="0" w:color="auto"/>
                    <w:bottom w:val="none" w:sz="0" w:space="0" w:color="auto"/>
                    <w:right w:val="none" w:sz="0" w:space="0" w:color="auto"/>
                  </w:divBdr>
                </w:div>
                <w:div w:id="16150176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34767663">
              <w:marLeft w:val="0"/>
              <w:marRight w:val="0"/>
              <w:marTop w:val="0"/>
              <w:marBottom w:val="0"/>
              <w:divBdr>
                <w:top w:val="none" w:sz="0" w:space="0" w:color="auto"/>
                <w:left w:val="none" w:sz="0" w:space="0" w:color="auto"/>
                <w:bottom w:val="none" w:sz="0" w:space="0" w:color="auto"/>
                <w:right w:val="none" w:sz="0" w:space="0" w:color="auto"/>
              </w:divBdr>
              <w:divsChild>
                <w:div w:id="2131775156">
                  <w:marLeft w:val="0"/>
                  <w:marRight w:val="0"/>
                  <w:marTop w:val="0"/>
                  <w:marBottom w:val="0"/>
                  <w:divBdr>
                    <w:top w:val="none" w:sz="0" w:space="0" w:color="auto"/>
                    <w:left w:val="none" w:sz="0" w:space="0" w:color="auto"/>
                    <w:bottom w:val="none" w:sz="0" w:space="0" w:color="auto"/>
                    <w:right w:val="none" w:sz="0" w:space="0" w:color="auto"/>
                  </w:divBdr>
                </w:div>
                <w:div w:id="7547866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28834329">
              <w:marLeft w:val="0"/>
              <w:marRight w:val="0"/>
              <w:marTop w:val="0"/>
              <w:marBottom w:val="0"/>
              <w:divBdr>
                <w:top w:val="none" w:sz="0" w:space="0" w:color="auto"/>
                <w:left w:val="none" w:sz="0" w:space="0" w:color="auto"/>
                <w:bottom w:val="none" w:sz="0" w:space="0" w:color="auto"/>
                <w:right w:val="none" w:sz="0" w:space="0" w:color="auto"/>
              </w:divBdr>
              <w:divsChild>
                <w:div w:id="318778443">
                  <w:marLeft w:val="0"/>
                  <w:marRight w:val="0"/>
                  <w:marTop w:val="0"/>
                  <w:marBottom w:val="0"/>
                  <w:divBdr>
                    <w:top w:val="none" w:sz="0" w:space="0" w:color="auto"/>
                    <w:left w:val="none" w:sz="0" w:space="0" w:color="auto"/>
                    <w:bottom w:val="none" w:sz="0" w:space="0" w:color="auto"/>
                    <w:right w:val="none" w:sz="0" w:space="0" w:color="auto"/>
                  </w:divBdr>
                </w:div>
                <w:div w:id="9603008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73706687">
              <w:marLeft w:val="0"/>
              <w:marRight w:val="0"/>
              <w:marTop w:val="0"/>
              <w:marBottom w:val="0"/>
              <w:divBdr>
                <w:top w:val="none" w:sz="0" w:space="0" w:color="auto"/>
                <w:left w:val="none" w:sz="0" w:space="0" w:color="auto"/>
                <w:bottom w:val="none" w:sz="0" w:space="0" w:color="auto"/>
                <w:right w:val="none" w:sz="0" w:space="0" w:color="auto"/>
              </w:divBdr>
              <w:divsChild>
                <w:div w:id="1796214379">
                  <w:marLeft w:val="0"/>
                  <w:marRight w:val="0"/>
                  <w:marTop w:val="0"/>
                  <w:marBottom w:val="0"/>
                  <w:divBdr>
                    <w:top w:val="none" w:sz="0" w:space="0" w:color="auto"/>
                    <w:left w:val="none" w:sz="0" w:space="0" w:color="auto"/>
                    <w:bottom w:val="none" w:sz="0" w:space="0" w:color="auto"/>
                    <w:right w:val="none" w:sz="0" w:space="0" w:color="auto"/>
                  </w:divBdr>
                </w:div>
                <w:div w:id="122279154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80104396">
              <w:marLeft w:val="0"/>
              <w:marRight w:val="0"/>
              <w:marTop w:val="0"/>
              <w:marBottom w:val="0"/>
              <w:divBdr>
                <w:top w:val="none" w:sz="0" w:space="0" w:color="auto"/>
                <w:left w:val="none" w:sz="0" w:space="0" w:color="auto"/>
                <w:bottom w:val="none" w:sz="0" w:space="0" w:color="auto"/>
                <w:right w:val="none" w:sz="0" w:space="0" w:color="auto"/>
              </w:divBdr>
              <w:divsChild>
                <w:div w:id="54016752">
                  <w:marLeft w:val="0"/>
                  <w:marRight w:val="0"/>
                  <w:marTop w:val="0"/>
                  <w:marBottom w:val="0"/>
                  <w:divBdr>
                    <w:top w:val="none" w:sz="0" w:space="0" w:color="auto"/>
                    <w:left w:val="none" w:sz="0" w:space="0" w:color="auto"/>
                    <w:bottom w:val="none" w:sz="0" w:space="0" w:color="auto"/>
                    <w:right w:val="none" w:sz="0" w:space="0" w:color="auto"/>
                  </w:divBdr>
                </w:div>
                <w:div w:id="24688991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5919718">
              <w:marLeft w:val="0"/>
              <w:marRight w:val="0"/>
              <w:marTop w:val="0"/>
              <w:marBottom w:val="0"/>
              <w:divBdr>
                <w:top w:val="none" w:sz="0" w:space="0" w:color="auto"/>
                <w:left w:val="none" w:sz="0" w:space="0" w:color="auto"/>
                <w:bottom w:val="none" w:sz="0" w:space="0" w:color="auto"/>
                <w:right w:val="none" w:sz="0" w:space="0" w:color="auto"/>
              </w:divBdr>
              <w:divsChild>
                <w:div w:id="898129240">
                  <w:marLeft w:val="0"/>
                  <w:marRight w:val="0"/>
                  <w:marTop w:val="0"/>
                  <w:marBottom w:val="0"/>
                  <w:divBdr>
                    <w:top w:val="none" w:sz="0" w:space="0" w:color="auto"/>
                    <w:left w:val="none" w:sz="0" w:space="0" w:color="auto"/>
                    <w:bottom w:val="none" w:sz="0" w:space="0" w:color="auto"/>
                    <w:right w:val="none" w:sz="0" w:space="0" w:color="auto"/>
                  </w:divBdr>
                </w:div>
                <w:div w:id="10816160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5065375">
              <w:marLeft w:val="0"/>
              <w:marRight w:val="0"/>
              <w:marTop w:val="0"/>
              <w:marBottom w:val="0"/>
              <w:divBdr>
                <w:top w:val="none" w:sz="0" w:space="0" w:color="auto"/>
                <w:left w:val="none" w:sz="0" w:space="0" w:color="auto"/>
                <w:bottom w:val="none" w:sz="0" w:space="0" w:color="auto"/>
                <w:right w:val="none" w:sz="0" w:space="0" w:color="auto"/>
              </w:divBdr>
              <w:divsChild>
                <w:div w:id="1052777643">
                  <w:marLeft w:val="0"/>
                  <w:marRight w:val="0"/>
                  <w:marTop w:val="0"/>
                  <w:marBottom w:val="0"/>
                  <w:divBdr>
                    <w:top w:val="none" w:sz="0" w:space="0" w:color="auto"/>
                    <w:left w:val="none" w:sz="0" w:space="0" w:color="auto"/>
                    <w:bottom w:val="none" w:sz="0" w:space="0" w:color="auto"/>
                    <w:right w:val="none" w:sz="0" w:space="0" w:color="auto"/>
                  </w:divBdr>
                </w:div>
                <w:div w:id="17076379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07382859">
              <w:marLeft w:val="0"/>
              <w:marRight w:val="0"/>
              <w:marTop w:val="0"/>
              <w:marBottom w:val="0"/>
              <w:divBdr>
                <w:top w:val="none" w:sz="0" w:space="0" w:color="auto"/>
                <w:left w:val="none" w:sz="0" w:space="0" w:color="auto"/>
                <w:bottom w:val="none" w:sz="0" w:space="0" w:color="auto"/>
                <w:right w:val="none" w:sz="0" w:space="0" w:color="auto"/>
              </w:divBdr>
              <w:divsChild>
                <w:div w:id="104930680">
                  <w:marLeft w:val="0"/>
                  <w:marRight w:val="0"/>
                  <w:marTop w:val="0"/>
                  <w:marBottom w:val="0"/>
                  <w:divBdr>
                    <w:top w:val="none" w:sz="0" w:space="0" w:color="auto"/>
                    <w:left w:val="none" w:sz="0" w:space="0" w:color="auto"/>
                    <w:bottom w:val="none" w:sz="0" w:space="0" w:color="auto"/>
                    <w:right w:val="none" w:sz="0" w:space="0" w:color="auto"/>
                  </w:divBdr>
                </w:div>
                <w:div w:id="6229996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51198902">
              <w:marLeft w:val="0"/>
              <w:marRight w:val="0"/>
              <w:marTop w:val="0"/>
              <w:marBottom w:val="0"/>
              <w:divBdr>
                <w:top w:val="none" w:sz="0" w:space="0" w:color="auto"/>
                <w:left w:val="none" w:sz="0" w:space="0" w:color="auto"/>
                <w:bottom w:val="none" w:sz="0" w:space="0" w:color="auto"/>
                <w:right w:val="none" w:sz="0" w:space="0" w:color="auto"/>
              </w:divBdr>
              <w:divsChild>
                <w:div w:id="1873616700">
                  <w:marLeft w:val="0"/>
                  <w:marRight w:val="0"/>
                  <w:marTop w:val="0"/>
                  <w:marBottom w:val="0"/>
                  <w:divBdr>
                    <w:top w:val="none" w:sz="0" w:space="0" w:color="auto"/>
                    <w:left w:val="none" w:sz="0" w:space="0" w:color="auto"/>
                    <w:bottom w:val="none" w:sz="0" w:space="0" w:color="auto"/>
                    <w:right w:val="none" w:sz="0" w:space="0" w:color="auto"/>
                  </w:divBdr>
                </w:div>
                <w:div w:id="99237316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08301231">
              <w:marLeft w:val="0"/>
              <w:marRight w:val="0"/>
              <w:marTop w:val="0"/>
              <w:marBottom w:val="0"/>
              <w:divBdr>
                <w:top w:val="none" w:sz="0" w:space="0" w:color="auto"/>
                <w:left w:val="none" w:sz="0" w:space="0" w:color="auto"/>
                <w:bottom w:val="none" w:sz="0" w:space="0" w:color="auto"/>
                <w:right w:val="none" w:sz="0" w:space="0" w:color="auto"/>
              </w:divBdr>
              <w:divsChild>
                <w:div w:id="132336961">
                  <w:marLeft w:val="0"/>
                  <w:marRight w:val="0"/>
                  <w:marTop w:val="0"/>
                  <w:marBottom w:val="0"/>
                  <w:divBdr>
                    <w:top w:val="none" w:sz="0" w:space="0" w:color="auto"/>
                    <w:left w:val="none" w:sz="0" w:space="0" w:color="auto"/>
                    <w:bottom w:val="none" w:sz="0" w:space="0" w:color="auto"/>
                    <w:right w:val="none" w:sz="0" w:space="0" w:color="auto"/>
                  </w:divBdr>
                </w:div>
                <w:div w:id="14053802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8261382">
              <w:marLeft w:val="0"/>
              <w:marRight w:val="0"/>
              <w:marTop w:val="0"/>
              <w:marBottom w:val="0"/>
              <w:divBdr>
                <w:top w:val="none" w:sz="0" w:space="0" w:color="auto"/>
                <w:left w:val="none" w:sz="0" w:space="0" w:color="auto"/>
                <w:bottom w:val="none" w:sz="0" w:space="0" w:color="auto"/>
                <w:right w:val="none" w:sz="0" w:space="0" w:color="auto"/>
              </w:divBdr>
              <w:divsChild>
                <w:div w:id="585110330">
                  <w:marLeft w:val="0"/>
                  <w:marRight w:val="0"/>
                  <w:marTop w:val="0"/>
                  <w:marBottom w:val="0"/>
                  <w:divBdr>
                    <w:top w:val="none" w:sz="0" w:space="0" w:color="auto"/>
                    <w:left w:val="none" w:sz="0" w:space="0" w:color="auto"/>
                    <w:bottom w:val="none" w:sz="0" w:space="0" w:color="auto"/>
                    <w:right w:val="none" w:sz="0" w:space="0" w:color="auto"/>
                  </w:divBdr>
                </w:div>
                <w:div w:id="896362193">
                  <w:marLeft w:val="0"/>
                  <w:marRight w:val="0"/>
                  <w:marTop w:val="0"/>
                  <w:marBottom w:val="0"/>
                  <w:divBdr>
                    <w:top w:val="single" w:sz="12" w:space="0" w:color="000000"/>
                    <w:left w:val="single" w:sz="12" w:space="0" w:color="000000"/>
                    <w:bottom w:val="single" w:sz="12" w:space="0" w:color="000000"/>
                    <w:right w:val="single" w:sz="12" w:space="0" w:color="000000"/>
                  </w:divBdr>
                </w:div>
                <w:div w:id="2101218425">
                  <w:marLeft w:val="0"/>
                  <w:marRight w:val="0"/>
                  <w:marTop w:val="0"/>
                  <w:marBottom w:val="0"/>
                  <w:divBdr>
                    <w:top w:val="none" w:sz="0" w:space="0" w:color="auto"/>
                    <w:left w:val="none" w:sz="0" w:space="0" w:color="auto"/>
                    <w:bottom w:val="none" w:sz="0" w:space="0" w:color="auto"/>
                    <w:right w:val="none" w:sz="0" w:space="0" w:color="auto"/>
                  </w:divBdr>
                </w:div>
              </w:divsChild>
            </w:div>
            <w:div w:id="344484169">
              <w:marLeft w:val="0"/>
              <w:marRight w:val="0"/>
              <w:marTop w:val="0"/>
              <w:marBottom w:val="0"/>
              <w:divBdr>
                <w:top w:val="none" w:sz="0" w:space="0" w:color="auto"/>
                <w:left w:val="none" w:sz="0" w:space="0" w:color="auto"/>
                <w:bottom w:val="none" w:sz="0" w:space="0" w:color="auto"/>
                <w:right w:val="none" w:sz="0" w:space="0" w:color="auto"/>
              </w:divBdr>
            </w:div>
            <w:div w:id="1056122786">
              <w:marLeft w:val="0"/>
              <w:marRight w:val="0"/>
              <w:marTop w:val="0"/>
              <w:marBottom w:val="0"/>
              <w:divBdr>
                <w:top w:val="none" w:sz="0" w:space="0" w:color="auto"/>
                <w:left w:val="none" w:sz="0" w:space="0" w:color="auto"/>
                <w:bottom w:val="none" w:sz="0" w:space="0" w:color="auto"/>
                <w:right w:val="none" w:sz="0" w:space="0" w:color="auto"/>
              </w:divBdr>
            </w:div>
            <w:div w:id="184681465">
              <w:marLeft w:val="0"/>
              <w:marRight w:val="0"/>
              <w:marTop w:val="0"/>
              <w:marBottom w:val="0"/>
              <w:divBdr>
                <w:top w:val="none" w:sz="0" w:space="0" w:color="auto"/>
                <w:left w:val="none" w:sz="0" w:space="0" w:color="auto"/>
                <w:bottom w:val="none" w:sz="0" w:space="0" w:color="auto"/>
                <w:right w:val="none" w:sz="0" w:space="0" w:color="auto"/>
              </w:divBdr>
            </w:div>
            <w:div w:id="793401453">
              <w:marLeft w:val="0"/>
              <w:marRight w:val="0"/>
              <w:marTop w:val="0"/>
              <w:marBottom w:val="0"/>
              <w:divBdr>
                <w:top w:val="none" w:sz="0" w:space="0" w:color="auto"/>
                <w:left w:val="none" w:sz="0" w:space="0" w:color="auto"/>
                <w:bottom w:val="none" w:sz="0" w:space="0" w:color="auto"/>
                <w:right w:val="none" w:sz="0" w:space="0" w:color="auto"/>
              </w:divBdr>
              <w:divsChild>
                <w:div w:id="1647050998">
                  <w:marLeft w:val="0"/>
                  <w:marRight w:val="0"/>
                  <w:marTop w:val="330"/>
                  <w:marBottom w:val="0"/>
                  <w:divBdr>
                    <w:top w:val="single" w:sz="6" w:space="0" w:color="000000"/>
                    <w:left w:val="none" w:sz="0" w:space="0" w:color="auto"/>
                    <w:bottom w:val="none" w:sz="0" w:space="0" w:color="auto"/>
                    <w:right w:val="none" w:sz="0" w:space="0" w:color="auto"/>
                  </w:divBdr>
                </w:div>
                <w:div w:id="1740899621">
                  <w:marLeft w:val="0"/>
                  <w:marRight w:val="0"/>
                  <w:marTop w:val="330"/>
                  <w:marBottom w:val="0"/>
                  <w:divBdr>
                    <w:top w:val="single" w:sz="6" w:space="0" w:color="000000"/>
                    <w:left w:val="none" w:sz="0" w:space="0" w:color="auto"/>
                    <w:bottom w:val="none" w:sz="0" w:space="0" w:color="auto"/>
                    <w:right w:val="none" w:sz="0" w:space="0" w:color="auto"/>
                  </w:divBdr>
                </w:div>
                <w:div w:id="1583879569">
                  <w:marLeft w:val="0"/>
                  <w:marRight w:val="0"/>
                  <w:marTop w:val="330"/>
                  <w:marBottom w:val="0"/>
                  <w:divBdr>
                    <w:top w:val="single" w:sz="6" w:space="0" w:color="000000"/>
                    <w:left w:val="none" w:sz="0" w:space="0" w:color="auto"/>
                    <w:bottom w:val="none" w:sz="0" w:space="0" w:color="auto"/>
                    <w:right w:val="none" w:sz="0" w:space="0" w:color="auto"/>
                  </w:divBdr>
                </w:div>
                <w:div w:id="1996564277">
                  <w:marLeft w:val="0"/>
                  <w:marRight w:val="0"/>
                  <w:marTop w:val="330"/>
                  <w:marBottom w:val="0"/>
                  <w:divBdr>
                    <w:top w:val="single" w:sz="6" w:space="0" w:color="000000"/>
                    <w:left w:val="none" w:sz="0" w:space="0" w:color="auto"/>
                    <w:bottom w:val="none" w:sz="0" w:space="0" w:color="auto"/>
                    <w:right w:val="none" w:sz="0" w:space="0" w:color="auto"/>
                  </w:divBdr>
                </w:div>
                <w:div w:id="1398239680">
                  <w:marLeft w:val="0"/>
                  <w:marRight w:val="0"/>
                  <w:marTop w:val="0"/>
                  <w:marBottom w:val="0"/>
                  <w:divBdr>
                    <w:top w:val="none" w:sz="0" w:space="0" w:color="auto"/>
                    <w:left w:val="none" w:sz="0" w:space="0" w:color="auto"/>
                    <w:bottom w:val="none" w:sz="0" w:space="0" w:color="auto"/>
                    <w:right w:val="none" w:sz="0" w:space="0" w:color="auto"/>
                  </w:divBdr>
                  <w:divsChild>
                    <w:div w:id="704789783">
                      <w:marLeft w:val="0"/>
                      <w:marRight w:val="0"/>
                      <w:marTop w:val="0"/>
                      <w:marBottom w:val="0"/>
                      <w:divBdr>
                        <w:top w:val="single" w:sz="12" w:space="0" w:color="000000"/>
                        <w:left w:val="single" w:sz="12" w:space="0" w:color="000000"/>
                        <w:bottom w:val="single" w:sz="12" w:space="0" w:color="000000"/>
                        <w:right w:val="single" w:sz="12" w:space="0" w:color="000000"/>
                      </w:divBdr>
                    </w:div>
                    <w:div w:id="1115490800">
                      <w:marLeft w:val="0"/>
                      <w:marRight w:val="0"/>
                      <w:marTop w:val="0"/>
                      <w:marBottom w:val="0"/>
                      <w:divBdr>
                        <w:top w:val="none" w:sz="0" w:space="0" w:color="auto"/>
                        <w:left w:val="none" w:sz="0" w:space="0" w:color="auto"/>
                        <w:bottom w:val="none" w:sz="0" w:space="0" w:color="auto"/>
                        <w:right w:val="none" w:sz="0" w:space="0" w:color="auto"/>
                      </w:divBdr>
                    </w:div>
                  </w:divsChild>
                </w:div>
                <w:div w:id="59721088">
                  <w:marLeft w:val="0"/>
                  <w:marRight w:val="0"/>
                  <w:marTop w:val="330"/>
                  <w:marBottom w:val="0"/>
                  <w:divBdr>
                    <w:top w:val="single" w:sz="6" w:space="0" w:color="000000"/>
                    <w:left w:val="none" w:sz="0" w:space="0" w:color="auto"/>
                    <w:bottom w:val="none" w:sz="0" w:space="0" w:color="auto"/>
                    <w:right w:val="none" w:sz="0" w:space="0" w:color="auto"/>
                  </w:divBdr>
                </w:div>
                <w:div w:id="1523546721">
                  <w:marLeft w:val="0"/>
                  <w:marRight w:val="0"/>
                  <w:marTop w:val="330"/>
                  <w:marBottom w:val="0"/>
                  <w:divBdr>
                    <w:top w:val="single" w:sz="6" w:space="0" w:color="000000"/>
                    <w:left w:val="none" w:sz="0" w:space="0" w:color="auto"/>
                    <w:bottom w:val="none" w:sz="0" w:space="0" w:color="auto"/>
                    <w:right w:val="none" w:sz="0" w:space="0" w:color="auto"/>
                  </w:divBdr>
                </w:div>
                <w:div w:id="169638795">
                  <w:marLeft w:val="0"/>
                  <w:marRight w:val="0"/>
                  <w:marTop w:val="330"/>
                  <w:marBottom w:val="0"/>
                  <w:divBdr>
                    <w:top w:val="single" w:sz="6" w:space="0" w:color="000000"/>
                    <w:left w:val="none" w:sz="0" w:space="0" w:color="auto"/>
                    <w:bottom w:val="none" w:sz="0" w:space="0" w:color="auto"/>
                    <w:right w:val="none" w:sz="0" w:space="0" w:color="auto"/>
                  </w:divBdr>
                </w:div>
                <w:div w:id="984357921">
                  <w:marLeft w:val="0"/>
                  <w:marRight w:val="0"/>
                  <w:marTop w:val="330"/>
                  <w:marBottom w:val="0"/>
                  <w:divBdr>
                    <w:top w:val="single" w:sz="6" w:space="0" w:color="000000"/>
                    <w:left w:val="none" w:sz="0" w:space="0" w:color="auto"/>
                    <w:bottom w:val="none" w:sz="0" w:space="0" w:color="auto"/>
                    <w:right w:val="none" w:sz="0" w:space="0" w:color="auto"/>
                  </w:divBdr>
                </w:div>
              </w:divsChild>
            </w:div>
            <w:div w:id="2042129136">
              <w:marLeft w:val="0"/>
              <w:marRight w:val="0"/>
              <w:marTop w:val="0"/>
              <w:marBottom w:val="0"/>
              <w:divBdr>
                <w:top w:val="none" w:sz="0" w:space="0" w:color="auto"/>
                <w:left w:val="none" w:sz="0" w:space="0" w:color="auto"/>
                <w:bottom w:val="none" w:sz="0" w:space="0" w:color="auto"/>
                <w:right w:val="none" w:sz="0" w:space="0" w:color="auto"/>
              </w:divBdr>
            </w:div>
            <w:div w:id="434205788">
              <w:marLeft w:val="0"/>
              <w:marRight w:val="0"/>
              <w:marTop w:val="0"/>
              <w:marBottom w:val="0"/>
              <w:divBdr>
                <w:top w:val="none" w:sz="0" w:space="0" w:color="auto"/>
                <w:left w:val="none" w:sz="0" w:space="0" w:color="auto"/>
                <w:bottom w:val="none" w:sz="0" w:space="0" w:color="auto"/>
                <w:right w:val="none" w:sz="0" w:space="0" w:color="auto"/>
              </w:divBdr>
            </w:div>
            <w:div w:id="599293239">
              <w:marLeft w:val="0"/>
              <w:marRight w:val="0"/>
              <w:marTop w:val="0"/>
              <w:marBottom w:val="0"/>
              <w:divBdr>
                <w:top w:val="none" w:sz="0" w:space="0" w:color="auto"/>
                <w:left w:val="none" w:sz="0" w:space="0" w:color="auto"/>
                <w:bottom w:val="none" w:sz="0" w:space="0" w:color="auto"/>
                <w:right w:val="none" w:sz="0" w:space="0" w:color="auto"/>
              </w:divBdr>
            </w:div>
            <w:div w:id="1639916322">
              <w:marLeft w:val="0"/>
              <w:marRight w:val="0"/>
              <w:marTop w:val="0"/>
              <w:marBottom w:val="0"/>
              <w:divBdr>
                <w:top w:val="none" w:sz="0" w:space="0" w:color="auto"/>
                <w:left w:val="none" w:sz="0" w:space="0" w:color="auto"/>
                <w:bottom w:val="none" w:sz="0" w:space="0" w:color="auto"/>
                <w:right w:val="none" w:sz="0" w:space="0" w:color="auto"/>
              </w:divBdr>
            </w:div>
            <w:div w:id="1731418988">
              <w:marLeft w:val="0"/>
              <w:marRight w:val="0"/>
              <w:marTop w:val="0"/>
              <w:marBottom w:val="0"/>
              <w:divBdr>
                <w:top w:val="none" w:sz="0" w:space="0" w:color="auto"/>
                <w:left w:val="none" w:sz="0" w:space="0" w:color="auto"/>
                <w:bottom w:val="none" w:sz="0" w:space="0" w:color="auto"/>
                <w:right w:val="none" w:sz="0" w:space="0" w:color="auto"/>
              </w:divBdr>
            </w:div>
            <w:div w:id="1405568224">
              <w:marLeft w:val="0"/>
              <w:marRight w:val="0"/>
              <w:marTop w:val="0"/>
              <w:marBottom w:val="0"/>
              <w:divBdr>
                <w:top w:val="none" w:sz="0" w:space="0" w:color="auto"/>
                <w:left w:val="none" w:sz="0" w:space="0" w:color="auto"/>
                <w:bottom w:val="none" w:sz="0" w:space="0" w:color="auto"/>
                <w:right w:val="none" w:sz="0" w:space="0" w:color="auto"/>
              </w:divBdr>
            </w:div>
            <w:div w:id="1590575917">
              <w:marLeft w:val="0"/>
              <w:marRight w:val="0"/>
              <w:marTop w:val="0"/>
              <w:marBottom w:val="0"/>
              <w:divBdr>
                <w:top w:val="none" w:sz="0" w:space="0" w:color="auto"/>
                <w:left w:val="none" w:sz="0" w:space="0" w:color="auto"/>
                <w:bottom w:val="none" w:sz="0" w:space="0" w:color="auto"/>
                <w:right w:val="none" w:sz="0" w:space="0" w:color="auto"/>
              </w:divBdr>
            </w:div>
            <w:div w:id="772242777">
              <w:marLeft w:val="0"/>
              <w:marRight w:val="0"/>
              <w:marTop w:val="0"/>
              <w:marBottom w:val="0"/>
              <w:divBdr>
                <w:top w:val="none" w:sz="0" w:space="0" w:color="auto"/>
                <w:left w:val="none" w:sz="0" w:space="0" w:color="auto"/>
                <w:bottom w:val="none" w:sz="0" w:space="0" w:color="auto"/>
                <w:right w:val="none" w:sz="0" w:space="0" w:color="auto"/>
              </w:divBdr>
            </w:div>
            <w:div w:id="1669746784">
              <w:marLeft w:val="0"/>
              <w:marRight w:val="0"/>
              <w:marTop w:val="0"/>
              <w:marBottom w:val="0"/>
              <w:divBdr>
                <w:top w:val="none" w:sz="0" w:space="0" w:color="auto"/>
                <w:left w:val="none" w:sz="0" w:space="0" w:color="auto"/>
                <w:bottom w:val="none" w:sz="0" w:space="0" w:color="auto"/>
                <w:right w:val="none" w:sz="0" w:space="0" w:color="auto"/>
              </w:divBdr>
            </w:div>
            <w:div w:id="1298534286">
              <w:marLeft w:val="0"/>
              <w:marRight w:val="0"/>
              <w:marTop w:val="0"/>
              <w:marBottom w:val="0"/>
              <w:divBdr>
                <w:top w:val="none" w:sz="0" w:space="0" w:color="auto"/>
                <w:left w:val="none" w:sz="0" w:space="0" w:color="auto"/>
                <w:bottom w:val="none" w:sz="0" w:space="0" w:color="auto"/>
                <w:right w:val="none" w:sz="0" w:space="0" w:color="auto"/>
              </w:divBdr>
              <w:divsChild>
                <w:div w:id="256642328">
                  <w:marLeft w:val="0"/>
                  <w:marRight w:val="0"/>
                  <w:marTop w:val="0"/>
                  <w:marBottom w:val="0"/>
                  <w:divBdr>
                    <w:top w:val="none" w:sz="0" w:space="0" w:color="auto"/>
                    <w:left w:val="none" w:sz="0" w:space="0" w:color="auto"/>
                    <w:bottom w:val="none" w:sz="0" w:space="0" w:color="auto"/>
                    <w:right w:val="none" w:sz="0" w:space="0" w:color="auto"/>
                  </w:divBdr>
                </w:div>
                <w:div w:id="1663968462">
                  <w:marLeft w:val="0"/>
                  <w:marRight w:val="0"/>
                  <w:marTop w:val="0"/>
                  <w:marBottom w:val="0"/>
                  <w:divBdr>
                    <w:top w:val="single" w:sz="12" w:space="0" w:color="000000"/>
                    <w:left w:val="single" w:sz="12" w:space="0" w:color="000000"/>
                    <w:bottom w:val="single" w:sz="12" w:space="0" w:color="000000"/>
                    <w:right w:val="single" w:sz="12" w:space="0" w:color="000000"/>
                  </w:divBdr>
                </w:div>
                <w:div w:id="357388359">
                  <w:marLeft w:val="0"/>
                  <w:marRight w:val="0"/>
                  <w:marTop w:val="0"/>
                  <w:marBottom w:val="0"/>
                  <w:divBdr>
                    <w:top w:val="none" w:sz="0" w:space="0" w:color="auto"/>
                    <w:left w:val="none" w:sz="0" w:space="0" w:color="auto"/>
                    <w:bottom w:val="none" w:sz="0" w:space="0" w:color="auto"/>
                    <w:right w:val="none" w:sz="0" w:space="0" w:color="auto"/>
                  </w:divBdr>
                </w:div>
              </w:divsChild>
            </w:div>
            <w:div w:id="1090085547">
              <w:marLeft w:val="0"/>
              <w:marRight w:val="0"/>
              <w:marTop w:val="0"/>
              <w:marBottom w:val="0"/>
              <w:divBdr>
                <w:top w:val="none" w:sz="0" w:space="0" w:color="auto"/>
                <w:left w:val="none" w:sz="0" w:space="0" w:color="auto"/>
                <w:bottom w:val="none" w:sz="0" w:space="0" w:color="auto"/>
                <w:right w:val="none" w:sz="0" w:space="0" w:color="auto"/>
              </w:divBdr>
            </w:div>
            <w:div w:id="1362241596">
              <w:marLeft w:val="0"/>
              <w:marRight w:val="0"/>
              <w:marTop w:val="0"/>
              <w:marBottom w:val="0"/>
              <w:divBdr>
                <w:top w:val="none" w:sz="0" w:space="0" w:color="auto"/>
                <w:left w:val="none" w:sz="0" w:space="0" w:color="auto"/>
                <w:bottom w:val="none" w:sz="0" w:space="0" w:color="auto"/>
                <w:right w:val="none" w:sz="0" w:space="0" w:color="auto"/>
              </w:divBdr>
            </w:div>
            <w:div w:id="644706373">
              <w:marLeft w:val="0"/>
              <w:marRight w:val="0"/>
              <w:marTop w:val="0"/>
              <w:marBottom w:val="0"/>
              <w:divBdr>
                <w:top w:val="none" w:sz="0" w:space="0" w:color="auto"/>
                <w:left w:val="none" w:sz="0" w:space="0" w:color="auto"/>
                <w:bottom w:val="none" w:sz="0" w:space="0" w:color="auto"/>
                <w:right w:val="none" w:sz="0" w:space="0" w:color="auto"/>
              </w:divBdr>
            </w:div>
            <w:div w:id="835611609">
              <w:marLeft w:val="0"/>
              <w:marRight w:val="0"/>
              <w:marTop w:val="0"/>
              <w:marBottom w:val="0"/>
              <w:divBdr>
                <w:top w:val="none" w:sz="0" w:space="0" w:color="auto"/>
                <w:left w:val="none" w:sz="0" w:space="0" w:color="auto"/>
                <w:bottom w:val="none" w:sz="0" w:space="0" w:color="auto"/>
                <w:right w:val="none" w:sz="0" w:space="0" w:color="auto"/>
              </w:divBdr>
            </w:div>
            <w:div w:id="2034111506">
              <w:marLeft w:val="0"/>
              <w:marRight w:val="0"/>
              <w:marTop w:val="0"/>
              <w:marBottom w:val="0"/>
              <w:divBdr>
                <w:top w:val="none" w:sz="0" w:space="0" w:color="auto"/>
                <w:left w:val="none" w:sz="0" w:space="0" w:color="auto"/>
                <w:bottom w:val="none" w:sz="0" w:space="0" w:color="auto"/>
                <w:right w:val="none" w:sz="0" w:space="0" w:color="auto"/>
              </w:divBdr>
            </w:div>
            <w:div w:id="287972163">
              <w:marLeft w:val="0"/>
              <w:marRight w:val="0"/>
              <w:marTop w:val="0"/>
              <w:marBottom w:val="0"/>
              <w:divBdr>
                <w:top w:val="none" w:sz="0" w:space="0" w:color="auto"/>
                <w:left w:val="none" w:sz="0" w:space="0" w:color="auto"/>
                <w:bottom w:val="none" w:sz="0" w:space="0" w:color="auto"/>
                <w:right w:val="none" w:sz="0" w:space="0" w:color="auto"/>
              </w:divBdr>
            </w:div>
            <w:div w:id="1559168161">
              <w:marLeft w:val="0"/>
              <w:marRight w:val="0"/>
              <w:marTop w:val="0"/>
              <w:marBottom w:val="0"/>
              <w:divBdr>
                <w:top w:val="none" w:sz="0" w:space="0" w:color="auto"/>
                <w:left w:val="none" w:sz="0" w:space="0" w:color="auto"/>
                <w:bottom w:val="none" w:sz="0" w:space="0" w:color="auto"/>
                <w:right w:val="none" w:sz="0" w:space="0" w:color="auto"/>
              </w:divBdr>
            </w:div>
            <w:div w:id="766124380">
              <w:marLeft w:val="0"/>
              <w:marRight w:val="0"/>
              <w:marTop w:val="0"/>
              <w:marBottom w:val="0"/>
              <w:divBdr>
                <w:top w:val="none" w:sz="0" w:space="0" w:color="auto"/>
                <w:left w:val="none" w:sz="0" w:space="0" w:color="auto"/>
                <w:bottom w:val="none" w:sz="0" w:space="0" w:color="auto"/>
                <w:right w:val="none" w:sz="0" w:space="0" w:color="auto"/>
              </w:divBdr>
            </w:div>
            <w:div w:id="1166361108">
              <w:marLeft w:val="0"/>
              <w:marRight w:val="0"/>
              <w:marTop w:val="0"/>
              <w:marBottom w:val="0"/>
              <w:divBdr>
                <w:top w:val="none" w:sz="0" w:space="0" w:color="auto"/>
                <w:left w:val="none" w:sz="0" w:space="0" w:color="auto"/>
                <w:bottom w:val="none" w:sz="0" w:space="0" w:color="auto"/>
                <w:right w:val="none" w:sz="0" w:space="0" w:color="auto"/>
              </w:divBdr>
            </w:div>
            <w:div w:id="94327289">
              <w:marLeft w:val="0"/>
              <w:marRight w:val="0"/>
              <w:marTop w:val="0"/>
              <w:marBottom w:val="0"/>
              <w:divBdr>
                <w:top w:val="none" w:sz="0" w:space="0" w:color="auto"/>
                <w:left w:val="none" w:sz="0" w:space="0" w:color="auto"/>
                <w:bottom w:val="none" w:sz="0" w:space="0" w:color="auto"/>
                <w:right w:val="none" w:sz="0" w:space="0" w:color="auto"/>
              </w:divBdr>
              <w:divsChild>
                <w:div w:id="420028137">
                  <w:marLeft w:val="0"/>
                  <w:marRight w:val="0"/>
                  <w:marTop w:val="0"/>
                  <w:marBottom w:val="0"/>
                  <w:divBdr>
                    <w:top w:val="single" w:sz="12" w:space="0" w:color="000000"/>
                    <w:left w:val="single" w:sz="12" w:space="0" w:color="000000"/>
                    <w:bottom w:val="single" w:sz="12" w:space="0" w:color="000000"/>
                    <w:right w:val="single" w:sz="12" w:space="0" w:color="000000"/>
                  </w:divBdr>
                </w:div>
                <w:div w:id="170945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38d401cbe296a7b9a9ffba04ffb7d666&amp;node=40:7.0.1.1.1.1&amp;rgn=div6" TargetMode="External"/><Relationship Id="rId18" Type="http://schemas.openxmlformats.org/officeDocument/2006/relationships/hyperlink" Target="http://www.ecfr.gov/cgi-bin/text-idx?SID=38d401cbe296a7b9a9ffba04ffb7d666&amp;node=40:7.0.1.1.1.1&amp;rgn=div6" TargetMode="External"/><Relationship Id="rId26" Type="http://schemas.openxmlformats.org/officeDocument/2006/relationships/hyperlink" Target="http://www.ecfr.gov/cgi-bin/text-idx?SID=38d401cbe296a7b9a9ffba04ffb7d666&amp;node=40:7.0.1.1.1.1&amp;rgn=div6" TargetMode="External"/><Relationship Id="rId39" Type="http://schemas.openxmlformats.org/officeDocument/2006/relationships/hyperlink" Target="http://www.ecfr.gov/cgi-bin/text-idx?SID=38d401cbe296a7b9a9ffba04ffb7d666&amp;node=40:7.0.1.1.1.1&amp;rgn=div6" TargetMode="External"/><Relationship Id="rId21" Type="http://schemas.openxmlformats.org/officeDocument/2006/relationships/hyperlink" Target="http://www.ecfr.gov/cgi-bin/text-idx?SID=38d401cbe296a7b9a9ffba04ffb7d666&amp;node=40:7.0.1.1.1.1&amp;rgn=div6" TargetMode="External"/><Relationship Id="rId34" Type="http://schemas.openxmlformats.org/officeDocument/2006/relationships/hyperlink" Target="http://www.ecfr.gov/cgi-bin/text-idx?SID=38d401cbe296a7b9a9ffba04ffb7d666&amp;node=40:7.0.1.1.1.1&amp;rgn=div6" TargetMode="External"/><Relationship Id="rId42" Type="http://schemas.openxmlformats.org/officeDocument/2006/relationships/hyperlink" Target="http://www.ecfr.gov/cgi-bin/text-idx?SID=38d401cbe296a7b9a9ffba04ffb7d666&amp;node=40:7.0.1.1.1.1&amp;rgn=div6" TargetMode="External"/><Relationship Id="rId47" Type="http://schemas.openxmlformats.org/officeDocument/2006/relationships/hyperlink" Target="http://www.ecfr.gov/cgi-bin/text-idx?SID=38d401cbe296a7b9a9ffba04ffb7d666&amp;node=40:7.0.1.1.1.1&amp;rgn=div6" TargetMode="External"/><Relationship Id="rId50" Type="http://schemas.openxmlformats.org/officeDocument/2006/relationships/image" Target="media/image3.gif"/><Relationship Id="rId55" Type="http://schemas.openxmlformats.org/officeDocument/2006/relationships/hyperlink" Target="http://www.ecfr.gov/cgi-bin/text-idx?SID=38d401cbe296a7b9a9ffba04ffb7d666&amp;node=40:7.0.1.1.1.1&amp;rgn=div6" TargetMode="External"/><Relationship Id="rId7" Type="http://schemas.openxmlformats.org/officeDocument/2006/relationships/hyperlink" Target="http://www.ecfr.gov/cgi-bin/retrieveECFR?gp=&amp;SID=38d401cbe296a7b9a9ffba04ffb7d666&amp;n=40y7.0.1.1.1&amp;r=PART&amp;ty=HTML" TargetMode="External"/><Relationship Id="rId12" Type="http://schemas.openxmlformats.org/officeDocument/2006/relationships/hyperlink" Target="http://www.ecfr.gov/cgi-bin/text-idx?SID=38d401cbe296a7b9a9ffba04ffb7d666&amp;node=40:7.0.1.1.1.1&amp;rgn=div6" TargetMode="External"/><Relationship Id="rId17" Type="http://schemas.openxmlformats.org/officeDocument/2006/relationships/hyperlink" Target="http://www.ecfr.gov/cgi-bin/text-idx?SID=38d401cbe296a7b9a9ffba04ffb7d666&amp;node=40:7.0.1.1.1.1&amp;rgn=div6" TargetMode="External"/><Relationship Id="rId25" Type="http://schemas.openxmlformats.org/officeDocument/2006/relationships/hyperlink" Target="http://www.ecfr.gov/cgi-bin/text-idx?SID=38d401cbe296a7b9a9ffba04ffb7d666&amp;node=40:7.0.1.1.1.1&amp;rgn=div6" TargetMode="External"/><Relationship Id="rId33" Type="http://schemas.openxmlformats.org/officeDocument/2006/relationships/hyperlink" Target="http://www.ecfr.gov/cgi-bin/text-idx?SID=38d401cbe296a7b9a9ffba04ffb7d666&amp;node=40:7.0.1.1.1.1&amp;rgn=div6" TargetMode="External"/><Relationship Id="rId38" Type="http://schemas.openxmlformats.org/officeDocument/2006/relationships/hyperlink" Target="http://www.ecfr.gov/cgi-bin/text-idx?SID=38d401cbe296a7b9a9ffba04ffb7d666&amp;node=40:7.0.1.1.1.1&amp;rgn=div6" TargetMode="External"/><Relationship Id="rId46" Type="http://schemas.openxmlformats.org/officeDocument/2006/relationships/hyperlink" Target="http://www.ecfr.gov/cgi-bin/text-idx?SID=38d401cbe296a7b9a9ffba04ffb7d666&amp;node=40:7.0.1.1.1.1&amp;rgn=div6"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ecfr.gov/cgi-bin/text-idx?SID=38d401cbe296a7b9a9ffba04ffb7d666&amp;node=40:7.0.1.1.1.1&amp;rgn=div6" TargetMode="External"/><Relationship Id="rId20" Type="http://schemas.openxmlformats.org/officeDocument/2006/relationships/hyperlink" Target="http://www.ecfr.gov/cgi-bin/text-idx?SID=38d401cbe296a7b9a9ffba04ffb7d666&amp;node=40:7.0.1.1.1.1&amp;rgn=div6" TargetMode="External"/><Relationship Id="rId29" Type="http://schemas.openxmlformats.org/officeDocument/2006/relationships/hyperlink" Target="http://www.ecfr.gov/cgi-bin/text-idx?SID=38d401cbe296a7b9a9ffba04ffb7d666&amp;node=40:7.0.1.1.1.1&amp;rgn=div6#_top" TargetMode="External"/><Relationship Id="rId41" Type="http://schemas.openxmlformats.org/officeDocument/2006/relationships/hyperlink" Target="http://www.ecfr.gov/cgi-bin/text-idx?SID=38d401cbe296a7b9a9ffba04ffb7d666&amp;node=40:7.0.1.1.1.1&amp;rgn=div6" TargetMode="External"/><Relationship Id="rId54" Type="http://schemas.openxmlformats.org/officeDocument/2006/relationships/hyperlink" Target="http://www.ecfr.gov/cgi-bin/text-idx?SID=38d401cbe296a7b9a9ffba04ffb7d666&amp;node=40:7.0.1.1.1.1&amp;rgn=div6" TargetMode="External"/><Relationship Id="rId1" Type="http://schemas.openxmlformats.org/officeDocument/2006/relationships/styles" Target="styles.xml"/><Relationship Id="rId6" Type="http://schemas.openxmlformats.org/officeDocument/2006/relationships/hyperlink" Target="http://www.ecfr.gov/cgi-bin/retrieveECFR?gp=&amp;SID=38d401cbe296a7b9a9ffba04ffb7d666&amp;r=SUBPART&amp;n=40y7.0.1.1.1.2" TargetMode="External"/><Relationship Id="rId11" Type="http://schemas.openxmlformats.org/officeDocument/2006/relationships/hyperlink" Target="http://www.ecfr.gov/cgi-bin/text-idx?SID=38d401cbe296a7b9a9ffba04ffb7d666&amp;node=40:7.0.1.1.1.1&amp;rgn=div6" TargetMode="External"/><Relationship Id="rId24" Type="http://schemas.openxmlformats.org/officeDocument/2006/relationships/hyperlink" Target="http://www.ecfr.gov/cgi-bin/text-idx?SID=38d401cbe296a7b9a9ffba04ffb7d666&amp;node=40:7.0.1.1.1.1&amp;rgn=div6" TargetMode="External"/><Relationship Id="rId32" Type="http://schemas.openxmlformats.org/officeDocument/2006/relationships/hyperlink" Target="http://www.ecfr.gov/cgi-bin/text-idx?SID=38d401cbe296a7b9a9ffba04ffb7d666&amp;node=40:7.0.1.1.1.1&amp;rgn=div6" TargetMode="External"/><Relationship Id="rId37" Type="http://schemas.openxmlformats.org/officeDocument/2006/relationships/hyperlink" Target="http://www.ecfr.gov/cgi-bin/text-idx?SID=38d401cbe296a7b9a9ffba04ffb7d666&amp;node=40:7.0.1.1.1.1&amp;rgn=div6" TargetMode="External"/><Relationship Id="rId40" Type="http://schemas.openxmlformats.org/officeDocument/2006/relationships/hyperlink" Target="http://www.ecfr.gov/cgi-bin/text-idx?SID=38d401cbe296a7b9a9ffba04ffb7d666&amp;node=40:7.0.1.1.1.1&amp;rgn=div6" TargetMode="External"/><Relationship Id="rId45" Type="http://schemas.openxmlformats.org/officeDocument/2006/relationships/hyperlink" Target="http://www.ecfr.gov/cgi-bin/text-idx?SID=38d401cbe296a7b9a9ffba04ffb7d666&amp;node=40:7.0.1.1.1.1&amp;rgn=div6" TargetMode="External"/><Relationship Id="rId53" Type="http://schemas.openxmlformats.org/officeDocument/2006/relationships/hyperlink" Target="http://www.ecfr.gov/graphics/pdfs/er22de08.007.pdf" TargetMode="External"/><Relationship Id="rId58"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ecfr.gov/cgi-bin/text-idx?SID=38d401cbe296a7b9a9ffba04ffb7d666&amp;node=40:7.0.1.1.1.1&amp;rgn=div6" TargetMode="External"/><Relationship Id="rId23" Type="http://schemas.openxmlformats.org/officeDocument/2006/relationships/hyperlink" Target="http://www.ecfr.gov/cgi-bin/text-idx?SID=38d401cbe296a7b9a9ffba04ffb7d666&amp;node=40:7.0.1.1.1.1&amp;rgn=div6" TargetMode="External"/><Relationship Id="rId28" Type="http://schemas.openxmlformats.org/officeDocument/2006/relationships/hyperlink" Target="http://www.ecfr.gov/cgi-bin/text-idx?SID=38d401cbe296a7b9a9ffba04ffb7d666&amp;node=40:7.0.1.1.1.1&amp;rgn=div6" TargetMode="External"/><Relationship Id="rId36" Type="http://schemas.openxmlformats.org/officeDocument/2006/relationships/hyperlink" Target="http://www.ecfr.gov/cgi-bin/text-idx?SID=38d401cbe296a7b9a9ffba04ffb7d666&amp;node=40:7.0.1.1.1.1&amp;rgn=div6" TargetMode="External"/><Relationship Id="rId49" Type="http://schemas.openxmlformats.org/officeDocument/2006/relationships/hyperlink" Target="http://www.ecfr.gov/graphics/pdfs/ec01jn92.008.pdf" TargetMode="External"/><Relationship Id="rId57" Type="http://schemas.openxmlformats.org/officeDocument/2006/relationships/footer" Target="footer1.xml"/><Relationship Id="rId10" Type="http://schemas.openxmlformats.org/officeDocument/2006/relationships/hyperlink" Target="http://www.ecfr.gov/cgi-bin/text-idx?SID=38d401cbe296a7b9a9ffba04ffb7d666&amp;node=40:7.0.1.1.1.1&amp;rgn=div6" TargetMode="External"/><Relationship Id="rId19" Type="http://schemas.openxmlformats.org/officeDocument/2006/relationships/hyperlink" Target="http://www.ecfr.gov/cgi-bin/text-idx?SID=38d401cbe296a7b9a9ffba04ffb7d666&amp;node=40:7.0.1.1.1.1&amp;rgn=div6" TargetMode="External"/><Relationship Id="rId31" Type="http://schemas.openxmlformats.org/officeDocument/2006/relationships/hyperlink" Target="http://www.ecfr.gov/cgi-bin/text-idx?SID=38d401cbe296a7b9a9ffba04ffb7d666&amp;node=40:7.0.1.1.1.1&amp;rgn=div6" TargetMode="External"/><Relationship Id="rId44" Type="http://schemas.openxmlformats.org/officeDocument/2006/relationships/hyperlink" Target="http://www.ecfr.gov/cgi-bin/text-idx?SID=38d401cbe296a7b9a9ffba04ffb7d666&amp;node=40:7.0.1.1.1.1&amp;rgn=div6" TargetMode="External"/><Relationship Id="rId52" Type="http://schemas.openxmlformats.org/officeDocument/2006/relationships/image" Target="media/image4.gif"/><Relationship Id="rId4" Type="http://schemas.openxmlformats.org/officeDocument/2006/relationships/footnotes" Target="footnotes.xml"/><Relationship Id="rId9" Type="http://schemas.openxmlformats.org/officeDocument/2006/relationships/hyperlink" Target="http://www.ecfr.gov/cgi-bin/text-idx?SID=38d401cbe296a7b9a9ffba04ffb7d666&amp;node=40:7.0.1.1.1.1&amp;rgn=div6" TargetMode="External"/><Relationship Id="rId14" Type="http://schemas.openxmlformats.org/officeDocument/2006/relationships/hyperlink" Target="http://www.ecfr.gov/cgi-bin/text-idx?SID=38d401cbe296a7b9a9ffba04ffb7d666&amp;node=40:7.0.1.1.1.1&amp;rgn=div6" TargetMode="External"/><Relationship Id="rId22" Type="http://schemas.openxmlformats.org/officeDocument/2006/relationships/hyperlink" Target="http://www.ecfr.gov/cgi-bin/text-idx?SID=38d401cbe296a7b9a9ffba04ffb7d666&amp;node=40:7.0.1.1.1.1&amp;rgn=div6" TargetMode="External"/><Relationship Id="rId27" Type="http://schemas.openxmlformats.org/officeDocument/2006/relationships/hyperlink" Target="http://www.ecfr.gov/cgi-bin/text-idx?SID=38d401cbe296a7b9a9ffba04ffb7d666&amp;node=40:7.0.1.1.1.1&amp;rgn=div6" TargetMode="External"/><Relationship Id="rId30" Type="http://schemas.openxmlformats.org/officeDocument/2006/relationships/image" Target="media/image1.gif"/><Relationship Id="rId35" Type="http://schemas.openxmlformats.org/officeDocument/2006/relationships/hyperlink" Target="http://www.ecfr.gov/cgi-bin/text-idx?SID=38d401cbe296a7b9a9ffba04ffb7d666&amp;node=40:7.0.1.1.1.1&amp;rgn=div6" TargetMode="External"/><Relationship Id="rId43" Type="http://schemas.openxmlformats.org/officeDocument/2006/relationships/hyperlink" Target="http://www.ecfr.gov/cgi-bin/text-idx?SID=38d401cbe296a7b9a9ffba04ffb7d666&amp;node=40:7.0.1.1.1.1&amp;rgn=div6" TargetMode="External"/><Relationship Id="rId48" Type="http://schemas.openxmlformats.org/officeDocument/2006/relationships/image" Target="media/image2.gif"/><Relationship Id="rId56" Type="http://schemas.openxmlformats.org/officeDocument/2006/relationships/hyperlink" Target="http://www.ecfr.gov/cgi-bin/text-idx?SID=38d401cbe296a7b9a9ffba04ffb7d666&amp;node=40:7.0.1.1.1.1&amp;rgn=div6" TargetMode="External"/><Relationship Id="rId8" Type="http://schemas.openxmlformats.org/officeDocument/2006/relationships/hyperlink" Target="http://www.ecfr.gov/cgi-bin/text-idx?SID=38d401cbe296a7b9a9ffba04ffb7d666&amp;node=40:7.0.1.1.1.1&amp;rgn=div6" TargetMode="External"/><Relationship Id="rId51" Type="http://schemas.openxmlformats.org/officeDocument/2006/relationships/hyperlink" Target="http://www.ecfr.gov/graphics/pdfs/ec01jn92.009.pdf"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123</Pages>
  <Words>42766</Words>
  <Characters>243770</Characters>
  <Application>Microsoft Office Word</Application>
  <DocSecurity>0</DocSecurity>
  <Lines>2031</Lines>
  <Paragraphs>571</Paragraphs>
  <ScaleCrop>false</ScaleCrop>
  <Company/>
  <LinksUpToDate>false</LinksUpToDate>
  <CharactersWithSpaces>285965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Maybin, Leslie</cp:lastModifiedBy>
  <cp:revision>2</cp:revision>
  <dcterms:created xsi:type="dcterms:W3CDTF">2014-06-13T12:11:00Z</dcterms:created>
  <dcterms:modified xsi:type="dcterms:W3CDTF">2014-06-13T12:21:00Z</dcterms:modified>
</cp:coreProperties>
</file>